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E09E" w14:textId="77777777" w:rsidR="001A72BB" w:rsidRDefault="001A72BB">
      <w:bookmarkStart w:id="0" w:name="_GoBack"/>
      <w:bookmarkEnd w:id="0"/>
    </w:p>
    <w:p w14:paraId="7994D540" w14:textId="6C75C91E" w:rsidR="00B906B0" w:rsidRPr="00597280" w:rsidRDefault="00CC0E15" w:rsidP="00B906B0">
      <w:pPr>
        <w:rPr>
          <w:rFonts w:eastAsia="Times New Roman"/>
          <w:sz w:val="40"/>
          <w:szCs w:val="40"/>
        </w:rPr>
      </w:pPr>
      <w:r>
        <w:rPr>
          <w:noProof/>
        </w:rPr>
        <mc:AlternateContent>
          <mc:Choice Requires="wps">
            <w:drawing>
              <wp:anchor distT="0" distB="0" distL="182880" distR="182880" simplePos="0" relativeHeight="251660288" behindDoc="0" locked="0" layoutInCell="1" allowOverlap="1" wp14:anchorId="0E5A1522" wp14:editId="592B47FE">
                <wp:simplePos x="0" y="0"/>
                <wp:positionH relativeFrom="page">
                  <wp:posOffset>1344295</wp:posOffset>
                </wp:positionH>
                <wp:positionV relativeFrom="page">
                  <wp:posOffset>5775960</wp:posOffset>
                </wp:positionV>
                <wp:extent cx="4970145" cy="1697355"/>
                <wp:effectExtent l="2540" t="0" r="0" b="0"/>
                <wp:wrapSquare wrapText="bothSides"/>
                <wp:docPr id="2" name="Textruta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169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04491E" w14:textId="77777777" w:rsidR="00CA1336" w:rsidRPr="001A72BB" w:rsidRDefault="00CA1336">
                            <w:pPr>
                              <w:pStyle w:val="Ingetavstnd"/>
                              <w:spacing w:before="40" w:after="560" w:line="216" w:lineRule="auto"/>
                              <w:rPr>
                                <w:color w:val="4472C4"/>
                                <w:sz w:val="60"/>
                                <w:szCs w:val="60"/>
                              </w:rPr>
                            </w:pPr>
                            <w:r w:rsidRPr="001A72BB">
                              <w:rPr>
                                <w:sz w:val="60"/>
                                <w:szCs w:val="60"/>
                              </w:rPr>
                              <w:t>Skolforskningsinstitutets arbete med systematiska översikter</w:t>
                            </w:r>
                          </w:p>
                          <w:p w14:paraId="2D75E695" w14:textId="77777777" w:rsidR="00CA1336" w:rsidRPr="001A72BB" w:rsidRDefault="00CA1336">
                            <w:pPr>
                              <w:pStyle w:val="Ingetavstnd"/>
                              <w:spacing w:before="40" w:after="40"/>
                              <w:rPr>
                                <w:caps/>
                                <w:color w:val="1F4E79"/>
                                <w:sz w:val="28"/>
                                <w:szCs w:val="28"/>
                              </w:rPr>
                            </w:pPr>
                            <w:r>
                              <w:rPr>
                                <w:caps/>
                                <w:sz w:val="28"/>
                                <w:szCs w:val="28"/>
                              </w:rPr>
                              <w:t>Utvärdering</w:t>
                            </w:r>
                          </w:p>
                          <w:p w14:paraId="1F1B9E13" w14:textId="77777777" w:rsidR="00CA1336" w:rsidRPr="001A72BB" w:rsidRDefault="00CA1336">
                            <w:pPr>
                              <w:pStyle w:val="Ingetavstnd"/>
                              <w:spacing w:before="80" w:after="40"/>
                              <w:rPr>
                                <w:caps/>
                                <w:color w:val="5B9BD5"/>
                                <w:sz w:val="24"/>
                                <w:szCs w:val="24"/>
                              </w:rPr>
                            </w:pPr>
                            <w:r>
                              <w:rPr>
                                <w:caps/>
                                <w:sz w:val="24"/>
                                <w:szCs w:val="24"/>
                              </w:rPr>
                              <w:t>Ingemar Bohlin</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35000</wp14:pctHeight>
                </wp14:sizeRelV>
              </wp:anchor>
            </w:drawing>
          </mc:Choice>
          <mc:Fallback>
            <w:pict>
              <v:shapetype w14:anchorId="0E5A1522" id="_x0000_t202" coordsize="21600,21600" o:spt="202" path="m,l,21600r21600,l21600,xe">
                <v:stroke joinstyle="miter"/>
                <v:path gradientshapeok="t" o:connecttype="rect"/>
              </v:shapetype>
              <v:shape id="Textruta 131" o:spid="_x0000_s1026" type="#_x0000_t202" style="position:absolute;margin-left:105.85pt;margin-top:454.8pt;width:391.35pt;height:133.65pt;z-index:251660288;visibility:visible;mso-wrap-style:square;mso-width-percent:0;mso-height-percent:350;mso-wrap-distance-left:14.4pt;mso-wrap-distance-top:0;mso-wrap-distance-right:14.4pt;mso-wrap-distance-bottom:0;mso-position-horizontal:absolute;mso-position-horizontal-relative:page;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" filled="f" stroked="f" strokeweight=".5pt">
                <v:textbox style="mso-fit-shape-to-text:t" inset="0,0,0,0">
                  <w:txbxContent>
                    <w:p w14:paraId="4604491E" w14:textId="77777777" w:rsidR="00CA1336" w:rsidRPr="001A72BB" w:rsidRDefault="00CA1336">
                      <w:pPr>
                        <w:pStyle w:val="Ingetavstnd"/>
                        <w:spacing w:before="40" w:after="560" w:line="216" w:lineRule="auto"/>
                        <w:rPr>
                          <w:color w:val="4472C4"/>
                          <w:sz w:val="60"/>
                          <w:szCs w:val="60"/>
                        </w:rPr>
                      </w:pPr>
                      <w:r w:rsidRPr="001A72BB">
                        <w:rPr>
                          <w:sz w:val="60"/>
                          <w:szCs w:val="60"/>
                        </w:rPr>
                        <w:t>Skolforskningsinstitutets arbete med systematiska översikter</w:t>
                      </w:r>
                    </w:p>
                    <w:p w14:paraId="2D75E695" w14:textId="77777777" w:rsidR="00CA1336" w:rsidRPr="001A72BB" w:rsidRDefault="00CA1336">
                      <w:pPr>
                        <w:pStyle w:val="Ingetavstnd"/>
                        <w:spacing w:before="40" w:after="40"/>
                        <w:rPr>
                          <w:caps/>
                          <w:color w:val="1F4E79"/>
                          <w:sz w:val="28"/>
                          <w:szCs w:val="28"/>
                        </w:rPr>
                      </w:pPr>
                      <w:r>
                        <w:rPr>
                          <w:caps/>
                          <w:sz w:val="28"/>
                          <w:szCs w:val="28"/>
                        </w:rPr>
                        <w:t>Utvärdering</w:t>
                      </w:r>
                    </w:p>
                    <w:p w14:paraId="1F1B9E13" w14:textId="77777777" w:rsidR="00CA1336" w:rsidRPr="001A72BB" w:rsidRDefault="00CA1336">
                      <w:pPr>
                        <w:pStyle w:val="Ingetavstnd"/>
                        <w:spacing w:before="80" w:after="40"/>
                        <w:rPr>
                          <w:caps/>
                          <w:color w:val="5B9BD5"/>
                          <w:sz w:val="24"/>
                          <w:szCs w:val="24"/>
                        </w:rPr>
                      </w:pPr>
                      <w:r>
                        <w:rPr>
                          <w:caps/>
                          <w:sz w:val="24"/>
                          <w:szCs w:val="24"/>
                        </w:rPr>
                        <w:t>Ingemar Bohlin</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0E961BD" wp14:editId="2F877EB1">
                <wp:simplePos x="0" y="0"/>
                <wp:positionH relativeFrom="page">
                  <wp:posOffset>6085840</wp:posOffset>
                </wp:positionH>
                <wp:positionV relativeFrom="page">
                  <wp:posOffset>245745</wp:posOffset>
                </wp:positionV>
                <wp:extent cx="574675" cy="1045845"/>
                <wp:effectExtent l="0" t="0" r="0" b="3810"/>
                <wp:wrapNone/>
                <wp:docPr id="1"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675" cy="1045845"/>
                        </a:xfrm>
                        <a:prstGeom prst="rect">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2AA3037" w14:textId="77777777" w:rsidR="00CA1336" w:rsidRPr="001A72BB" w:rsidRDefault="00CA1336">
                            <w:pPr>
                              <w:pStyle w:val="Ingetavstnd"/>
                              <w:jc w:val="right"/>
                              <w:rPr>
                                <w:color w:val="FFFFFF"/>
                                <w:sz w:val="24"/>
                                <w:szCs w:val="24"/>
                              </w:rPr>
                            </w:pPr>
                            <w:r>
                              <w:rPr>
                                <w:sz w:val="24"/>
                                <w:szCs w:val="24"/>
                              </w:rPr>
                              <w:t>2018</w:t>
                            </w:r>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30E961BD" id="Rektangel 132" o:spid="_x0000_s1027" style="position:absolute;margin-left:479.2pt;margin-top:19.35pt;width:45.25pt;height:82.35pt;z-index:251659264;visibility:visible;mso-wrap-style:square;mso-width-percent:76;mso-height-percent:98;mso-wrap-distance-left:9pt;mso-wrap-distance-top:0;mso-wrap-distance-right:9pt;mso-wrap-distance-bottom:0;mso-position-horizontal:absolute;mso-position-horizontal-relative:page;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" fillcolor="#4472c4" stroked="f" strokeweight="1pt">
                <o:lock v:ext="edit" aspectratio="t"/>
                <v:textbox inset="3.6pt,,3.6pt">
                  <w:txbxContent>
                    <w:p w14:paraId="72AA3037" w14:textId="77777777" w:rsidR="00CA1336" w:rsidRPr="001A72BB" w:rsidRDefault="00CA1336">
                      <w:pPr>
                        <w:pStyle w:val="Ingetavstnd"/>
                        <w:jc w:val="right"/>
                        <w:rPr>
                          <w:color w:val="FFFFFF"/>
                          <w:sz w:val="24"/>
                          <w:szCs w:val="24"/>
                        </w:rPr>
                      </w:pPr>
                      <w:r>
                        <w:rPr>
                          <w:sz w:val="24"/>
                          <w:szCs w:val="24"/>
                        </w:rPr>
                        <w:t>2018</w:t>
                      </w:r>
                    </w:p>
                  </w:txbxContent>
                </v:textbox>
                <w10:wrap anchorx="page" anchory="page"/>
              </v:rect>
            </w:pict>
          </mc:Fallback>
        </mc:AlternateContent>
      </w:r>
      <w:r w:rsidR="001A72BB">
        <w:rPr>
          <w:rFonts w:eastAsia="Times New Roman"/>
          <w:sz w:val="40"/>
          <w:szCs w:val="40"/>
        </w:rPr>
        <w:br w:type="page"/>
      </w:r>
      <w:r w:rsidR="00B906B0" w:rsidRPr="00597280">
        <w:rPr>
          <w:rFonts w:eastAsia="Times New Roman"/>
          <w:sz w:val="40"/>
          <w:szCs w:val="40"/>
        </w:rPr>
        <w:lastRenderedPageBreak/>
        <w:t>Inledning</w:t>
      </w:r>
    </w:p>
    <w:p w14:paraId="5DC5FFDE" w14:textId="77777777" w:rsidR="00B906B0" w:rsidRDefault="00B906B0" w:rsidP="00B906B0">
      <w:pPr>
        <w:rPr>
          <w:rFonts w:eastAsia="Times New Roman"/>
        </w:rPr>
      </w:pPr>
    </w:p>
    <w:p w14:paraId="0FF5DF2A" w14:textId="77777777" w:rsidR="00B906B0" w:rsidRDefault="00B906B0" w:rsidP="00B906B0">
      <w:pPr>
        <w:rPr>
          <w:rFonts w:eastAsia="Times New Roman"/>
        </w:rPr>
      </w:pPr>
      <w:r>
        <w:rPr>
          <w:rFonts w:eastAsia="Times New Roman"/>
        </w:rPr>
        <w:t xml:space="preserve">Att sammanfatta resultat av tidigare </w:t>
      </w:r>
      <w:r w:rsidRPr="00F37CE5">
        <w:rPr>
          <w:rFonts w:eastAsia="Times New Roman"/>
        </w:rPr>
        <w:t xml:space="preserve">forskning </w:t>
      </w:r>
      <w:r>
        <w:rPr>
          <w:rFonts w:eastAsia="Times New Roman"/>
        </w:rPr>
        <w:t xml:space="preserve">är en </w:t>
      </w:r>
      <w:r w:rsidR="00710D28">
        <w:rPr>
          <w:rFonts w:eastAsia="Times New Roman"/>
        </w:rPr>
        <w:t>nödvändig</w:t>
      </w:r>
      <w:r>
        <w:rPr>
          <w:rFonts w:eastAsia="Times New Roman"/>
        </w:rPr>
        <w:t xml:space="preserve"> komponent i </w:t>
      </w:r>
      <w:r w:rsidRPr="00F37CE5">
        <w:rPr>
          <w:rFonts w:eastAsia="Times New Roman"/>
        </w:rPr>
        <w:t xml:space="preserve">vetenskaplig </w:t>
      </w:r>
      <w:r>
        <w:rPr>
          <w:rFonts w:eastAsia="Times New Roman"/>
        </w:rPr>
        <w:t xml:space="preserve">praktik, och konventioner för sådana sammanfattningar har under århundraden vuxit fram i alla discipliner. </w:t>
      </w:r>
      <w:r w:rsidRPr="00F37CE5">
        <w:rPr>
          <w:rFonts w:eastAsia="Times New Roman"/>
        </w:rPr>
        <w:t xml:space="preserve">Översikter </w:t>
      </w:r>
      <w:r>
        <w:rPr>
          <w:rFonts w:eastAsia="Times New Roman"/>
        </w:rPr>
        <w:t xml:space="preserve">av ämnen och specialområden publiceras bl a som kapitel i årsböcker med titlar som Annual </w:t>
      </w:r>
      <w:r w:rsidR="00710D28">
        <w:rPr>
          <w:rFonts w:eastAsia="Times New Roman"/>
        </w:rPr>
        <w:t>Review</w:t>
      </w:r>
      <w:r w:rsidRPr="00F37CE5">
        <w:rPr>
          <w:rFonts w:eastAsia="Times New Roman"/>
        </w:rPr>
        <w:t xml:space="preserve"> </w:t>
      </w:r>
      <w:r>
        <w:rPr>
          <w:rFonts w:eastAsia="Times New Roman"/>
        </w:rPr>
        <w:t xml:space="preserve">of </w:t>
      </w:r>
      <w:r w:rsidR="00710D28">
        <w:rPr>
          <w:rFonts w:eastAsia="Times New Roman"/>
        </w:rPr>
        <w:t>Astronomy and Astrophysics</w:t>
      </w:r>
      <w:r>
        <w:rPr>
          <w:rFonts w:eastAsia="Times New Roman"/>
        </w:rPr>
        <w:t>, som kapitel i avhandlingar</w:t>
      </w:r>
      <w:r w:rsidR="00320BC1">
        <w:rPr>
          <w:rFonts w:eastAsia="Times New Roman"/>
        </w:rPr>
        <w:t xml:space="preserve"> i monografiformat</w:t>
      </w:r>
      <w:r>
        <w:rPr>
          <w:rFonts w:eastAsia="Times New Roman"/>
        </w:rPr>
        <w:t xml:space="preserve">, som kapitel i stora antologier med titlar som </w:t>
      </w:r>
      <w:r w:rsidR="00320BC1">
        <w:rPr>
          <w:rFonts w:eastAsia="Times New Roman"/>
        </w:rPr>
        <w:t xml:space="preserve">The </w:t>
      </w:r>
      <w:r>
        <w:rPr>
          <w:rFonts w:eastAsia="Times New Roman"/>
        </w:rPr>
        <w:t xml:space="preserve">Sage Handbook of </w:t>
      </w:r>
      <w:r w:rsidRPr="00F37CE5">
        <w:rPr>
          <w:rFonts w:eastAsia="Times New Roman"/>
        </w:rPr>
        <w:t xml:space="preserve">Qualitative </w:t>
      </w:r>
      <w:r>
        <w:rPr>
          <w:rFonts w:eastAsia="Times New Roman"/>
        </w:rPr>
        <w:t>Methods</w:t>
      </w:r>
      <w:r w:rsidR="00320BC1">
        <w:rPr>
          <w:rFonts w:eastAsia="Times New Roman"/>
        </w:rPr>
        <w:t xml:space="preserve"> in Health Research</w:t>
      </w:r>
      <w:r>
        <w:rPr>
          <w:rFonts w:eastAsia="Times New Roman"/>
        </w:rPr>
        <w:t xml:space="preserve">, som artiklar i vanliga tidskrifter, och i inledande avsnitt i de flesta </w:t>
      </w:r>
      <w:r w:rsidRPr="00F37CE5">
        <w:rPr>
          <w:rFonts w:eastAsia="Times New Roman"/>
        </w:rPr>
        <w:t xml:space="preserve">vetenskapliga </w:t>
      </w:r>
      <w:r>
        <w:rPr>
          <w:rFonts w:eastAsia="Times New Roman"/>
        </w:rPr>
        <w:t xml:space="preserve">artiklar. Efter andra världskriget ökade den årliga volymen av publikationer kraftigt i de flesta discipliner, och termen </w:t>
      </w:r>
      <w:r w:rsidRPr="006F1BE6">
        <w:rPr>
          <w:rFonts w:eastAsia="Times New Roman"/>
        </w:rPr>
        <w:t>information</w:t>
      </w:r>
      <w:r>
        <w:rPr>
          <w:rFonts w:eastAsia="Times New Roman"/>
        </w:rPr>
        <w:t xml:space="preserve">sexplosion </w:t>
      </w:r>
      <w:r w:rsidR="007A7748">
        <w:rPr>
          <w:rFonts w:eastAsia="Times New Roman"/>
        </w:rPr>
        <w:t>blev vanlig</w:t>
      </w:r>
      <w:r>
        <w:rPr>
          <w:rFonts w:eastAsia="Times New Roman"/>
        </w:rPr>
        <w:t xml:space="preserve">. Under denna period växte ett missnöje fram med de format för </w:t>
      </w:r>
      <w:r w:rsidRPr="006F1BE6">
        <w:rPr>
          <w:rFonts w:eastAsia="Times New Roman"/>
        </w:rPr>
        <w:t xml:space="preserve">översikter </w:t>
      </w:r>
      <w:r>
        <w:rPr>
          <w:rFonts w:eastAsia="Times New Roman"/>
        </w:rPr>
        <w:t>som hade utvecklats informellt, och på vissa håll började man betrakta dem som helt inadekvata.</w:t>
      </w:r>
    </w:p>
    <w:p w14:paraId="667EF6DE" w14:textId="77777777" w:rsidR="00B906B0" w:rsidRDefault="00B906B0" w:rsidP="00B906B0">
      <w:pPr>
        <w:rPr>
          <w:rFonts w:eastAsia="Times New Roman"/>
        </w:rPr>
      </w:pPr>
    </w:p>
    <w:p w14:paraId="2FD18DB9" w14:textId="77777777" w:rsidR="00B906B0" w:rsidRDefault="00B906B0" w:rsidP="00B906B0">
      <w:pPr>
        <w:rPr>
          <w:rFonts w:eastAsia="Times New Roman"/>
        </w:rPr>
      </w:pPr>
      <w:r>
        <w:rPr>
          <w:rFonts w:eastAsia="Times New Roman"/>
        </w:rPr>
        <w:t xml:space="preserve">Inom </w:t>
      </w:r>
      <w:r w:rsidRPr="00B82A21">
        <w:rPr>
          <w:rFonts w:eastAsia="Times New Roman"/>
        </w:rPr>
        <w:t xml:space="preserve">kvantitativ </w:t>
      </w:r>
      <w:r>
        <w:rPr>
          <w:rFonts w:eastAsia="Times New Roman"/>
        </w:rPr>
        <w:t xml:space="preserve">amerikansk psykologi och </w:t>
      </w:r>
      <w:r w:rsidRPr="00B82A21">
        <w:rPr>
          <w:rFonts w:eastAsia="Times New Roman"/>
        </w:rPr>
        <w:t xml:space="preserve">utbildningsvetenskaplig forskning </w:t>
      </w:r>
      <w:r>
        <w:rPr>
          <w:rFonts w:eastAsia="Times New Roman"/>
        </w:rPr>
        <w:t>ledde missnöjet till att statistisk te</w:t>
      </w:r>
      <w:r w:rsidR="001A72BB">
        <w:rPr>
          <w:rFonts w:eastAsia="Times New Roman"/>
        </w:rPr>
        <w:t>k</w:t>
      </w:r>
      <w:r>
        <w:rPr>
          <w:rFonts w:eastAsia="Times New Roman"/>
        </w:rPr>
        <w:t xml:space="preserve">nik som kunde erbjuda ett alternativ till den traditionella typen av </w:t>
      </w:r>
      <w:r w:rsidRPr="00B82A21">
        <w:rPr>
          <w:rFonts w:eastAsia="Times New Roman"/>
        </w:rPr>
        <w:t xml:space="preserve">översikt </w:t>
      </w:r>
      <w:r>
        <w:rPr>
          <w:rFonts w:eastAsia="Times New Roman"/>
        </w:rPr>
        <w:t xml:space="preserve">utvecklades. 1976 myntade Gene Glass </w:t>
      </w:r>
      <w:r w:rsidRPr="00B82A21">
        <w:rPr>
          <w:rFonts w:eastAsia="Times New Roman"/>
        </w:rPr>
        <w:t xml:space="preserve">metaanalys </w:t>
      </w:r>
      <w:r>
        <w:rPr>
          <w:rFonts w:eastAsia="Times New Roman"/>
        </w:rPr>
        <w:t>som benämning för den</w:t>
      </w:r>
      <w:r w:rsidR="00D64613">
        <w:rPr>
          <w:rFonts w:eastAsia="Times New Roman"/>
        </w:rPr>
        <w:t>na</w:t>
      </w:r>
      <w:r>
        <w:rPr>
          <w:rFonts w:eastAsia="Times New Roman"/>
        </w:rPr>
        <w:t xml:space="preserve"> </w:t>
      </w:r>
      <w:r w:rsidR="00D64613">
        <w:rPr>
          <w:rFonts w:eastAsia="Times New Roman"/>
        </w:rPr>
        <w:t>innovation</w:t>
      </w:r>
      <w:r>
        <w:rPr>
          <w:rFonts w:eastAsia="Times New Roman"/>
        </w:rPr>
        <w:t xml:space="preserve">. </w:t>
      </w:r>
      <w:r w:rsidR="00D64613">
        <w:rPr>
          <w:rFonts w:eastAsia="Times New Roman"/>
        </w:rPr>
        <w:t xml:space="preserve">Metoden </w:t>
      </w:r>
      <w:r>
        <w:rPr>
          <w:rFonts w:eastAsia="Times New Roman"/>
        </w:rPr>
        <w:t xml:space="preserve">etablerades snabbt inom </w:t>
      </w:r>
      <w:r w:rsidRPr="00854BC9">
        <w:rPr>
          <w:rFonts w:eastAsia="Times New Roman"/>
        </w:rPr>
        <w:t xml:space="preserve">kvantitativ </w:t>
      </w:r>
      <w:r>
        <w:rPr>
          <w:rFonts w:eastAsia="Times New Roman"/>
        </w:rPr>
        <w:t xml:space="preserve">samhällsvetenskap, och under 1980-talet publicerades hundratals metaanalyser, många av dem inom utbildningsvetenskap. Redan tidigt fyllde dessa </w:t>
      </w:r>
      <w:r w:rsidRPr="000801E8">
        <w:rPr>
          <w:rFonts w:eastAsia="Times New Roman"/>
        </w:rPr>
        <w:t xml:space="preserve">översikter </w:t>
      </w:r>
      <w:r>
        <w:rPr>
          <w:rFonts w:eastAsia="Times New Roman"/>
        </w:rPr>
        <w:t xml:space="preserve">en funktion utanför akademin, genom att </w:t>
      </w:r>
      <w:r w:rsidR="00D64613">
        <w:rPr>
          <w:rFonts w:eastAsia="Times New Roman"/>
        </w:rPr>
        <w:t>ge politiska beslutsfattare</w:t>
      </w:r>
      <w:r>
        <w:rPr>
          <w:rFonts w:eastAsia="Times New Roman"/>
        </w:rPr>
        <w:t xml:space="preserve"> </w:t>
      </w:r>
      <w:r w:rsidR="00D64613">
        <w:rPr>
          <w:rFonts w:eastAsia="Times New Roman"/>
        </w:rPr>
        <w:t xml:space="preserve">tillgång till </w:t>
      </w:r>
      <w:r w:rsidRPr="00854BC9">
        <w:rPr>
          <w:rFonts w:eastAsia="Times New Roman"/>
        </w:rPr>
        <w:t xml:space="preserve">vetenskaplig kunskap </w:t>
      </w:r>
      <w:r w:rsidR="00D64613">
        <w:rPr>
          <w:rFonts w:eastAsia="Times New Roman"/>
        </w:rPr>
        <w:t>i en form som ansågs mer tillförlitlig</w:t>
      </w:r>
      <w:r>
        <w:rPr>
          <w:rFonts w:eastAsia="Times New Roman"/>
        </w:rPr>
        <w:t>.</w:t>
      </w:r>
    </w:p>
    <w:p w14:paraId="1536BB57" w14:textId="77777777" w:rsidR="00B906B0" w:rsidRDefault="00B906B0" w:rsidP="00B906B0">
      <w:pPr>
        <w:rPr>
          <w:rFonts w:eastAsia="Times New Roman"/>
        </w:rPr>
      </w:pPr>
    </w:p>
    <w:p w14:paraId="6FBDB6DE" w14:textId="77777777" w:rsidR="00B906B0" w:rsidRDefault="00B906B0" w:rsidP="00B906B0">
      <w:pPr>
        <w:rPr>
          <w:rFonts w:eastAsia="Times New Roman"/>
        </w:rPr>
      </w:pPr>
      <w:r>
        <w:rPr>
          <w:rFonts w:eastAsia="Times New Roman"/>
        </w:rPr>
        <w:t xml:space="preserve">Under 1980-talet började </w:t>
      </w:r>
      <w:r w:rsidRPr="00FD652B">
        <w:rPr>
          <w:rFonts w:eastAsia="Times New Roman"/>
        </w:rPr>
        <w:t xml:space="preserve">metaanalys </w:t>
      </w:r>
      <w:r>
        <w:rPr>
          <w:rFonts w:eastAsia="Times New Roman"/>
        </w:rPr>
        <w:t xml:space="preserve">användas även inom </w:t>
      </w:r>
      <w:r w:rsidRPr="00FD652B">
        <w:rPr>
          <w:rFonts w:eastAsia="Times New Roman"/>
        </w:rPr>
        <w:t xml:space="preserve">medicinsk </w:t>
      </w:r>
      <w:r>
        <w:rPr>
          <w:rFonts w:eastAsia="Times New Roman"/>
        </w:rPr>
        <w:t xml:space="preserve">forskning. När konceptet </w:t>
      </w:r>
      <w:r w:rsidRPr="00FD652B">
        <w:rPr>
          <w:rFonts w:eastAsia="Times New Roman"/>
        </w:rPr>
        <w:t xml:space="preserve">evidensbaserad medicin </w:t>
      </w:r>
      <w:r>
        <w:rPr>
          <w:rFonts w:eastAsia="Times New Roman"/>
        </w:rPr>
        <w:t xml:space="preserve">lanserades 1992 var randomiserade kliniska prövningar och </w:t>
      </w:r>
      <w:r w:rsidRPr="00FD652B">
        <w:rPr>
          <w:rFonts w:eastAsia="Times New Roman"/>
        </w:rPr>
        <w:t xml:space="preserve">metaanalys </w:t>
      </w:r>
      <w:r>
        <w:rPr>
          <w:rFonts w:eastAsia="Times New Roman"/>
        </w:rPr>
        <w:t xml:space="preserve">de två metoder för produktion av robust </w:t>
      </w:r>
      <w:r w:rsidRPr="00FD652B">
        <w:rPr>
          <w:rFonts w:eastAsia="Times New Roman"/>
        </w:rPr>
        <w:t xml:space="preserve">evidens </w:t>
      </w:r>
      <w:r>
        <w:rPr>
          <w:rFonts w:eastAsia="Times New Roman"/>
        </w:rPr>
        <w:t xml:space="preserve">som särskilt lyftes fram. Samma år introducerades begreppet </w:t>
      </w:r>
      <w:r w:rsidRPr="00FD652B">
        <w:rPr>
          <w:rFonts w:eastAsia="Times New Roman"/>
        </w:rPr>
        <w:t xml:space="preserve">systematisk </w:t>
      </w:r>
      <w:r>
        <w:rPr>
          <w:rFonts w:eastAsia="Times New Roman"/>
        </w:rPr>
        <w:t xml:space="preserve">översikt, i samband med inrättandet av ett första Cochrane-center i Oxford. </w:t>
      </w:r>
      <w:r w:rsidRPr="00B23A9F">
        <w:rPr>
          <w:rFonts w:eastAsia="Times New Roman"/>
        </w:rPr>
        <w:t xml:space="preserve">Systematisk översikt </w:t>
      </w:r>
      <w:r>
        <w:rPr>
          <w:rFonts w:eastAsia="Times New Roman"/>
        </w:rPr>
        <w:t xml:space="preserve">har därefter etablerats som övergripande rubrik för </w:t>
      </w:r>
      <w:r w:rsidRPr="00B23A9F">
        <w:rPr>
          <w:rFonts w:eastAsia="Times New Roman"/>
        </w:rPr>
        <w:t xml:space="preserve">översikter </w:t>
      </w:r>
      <w:r>
        <w:rPr>
          <w:rFonts w:eastAsia="Times New Roman"/>
        </w:rPr>
        <w:t xml:space="preserve">som genomförs med hjälp av formella metoder, medan metaanalys betecknar de statistiska sammanställningar av </w:t>
      </w:r>
      <w:r w:rsidRPr="00B23A9F">
        <w:rPr>
          <w:rFonts w:eastAsia="Times New Roman"/>
        </w:rPr>
        <w:t xml:space="preserve">data </w:t>
      </w:r>
      <w:r>
        <w:rPr>
          <w:rFonts w:eastAsia="Times New Roman"/>
        </w:rPr>
        <w:t xml:space="preserve">som brukar ingå i </w:t>
      </w:r>
      <w:r w:rsidRPr="00B23A9F">
        <w:rPr>
          <w:rFonts w:eastAsia="Times New Roman"/>
        </w:rPr>
        <w:t xml:space="preserve">systematiska översikter </w:t>
      </w:r>
      <w:r>
        <w:rPr>
          <w:rFonts w:eastAsia="Times New Roman"/>
        </w:rPr>
        <w:t xml:space="preserve">av kvantitativa studier. </w:t>
      </w:r>
      <w:r w:rsidRPr="00E830DB">
        <w:rPr>
          <w:rFonts w:eastAsia="Times New Roman"/>
        </w:rPr>
        <w:t xml:space="preserve">Systematiska översikter </w:t>
      </w:r>
      <w:r>
        <w:rPr>
          <w:rFonts w:eastAsia="Times New Roman"/>
        </w:rPr>
        <w:t xml:space="preserve">och </w:t>
      </w:r>
      <w:r w:rsidRPr="00E830DB">
        <w:rPr>
          <w:rFonts w:eastAsia="Times New Roman"/>
        </w:rPr>
        <w:t xml:space="preserve">metaanalys </w:t>
      </w:r>
      <w:r>
        <w:rPr>
          <w:rFonts w:eastAsia="Times New Roman"/>
        </w:rPr>
        <w:t xml:space="preserve">är de dominerande formaten inom research synthesis, det forskningsfält inom vilket formaliserade metoder för syntes av </w:t>
      </w:r>
      <w:r w:rsidRPr="00E830DB">
        <w:rPr>
          <w:rFonts w:eastAsia="Times New Roman"/>
        </w:rPr>
        <w:t xml:space="preserve">vetenskaplig </w:t>
      </w:r>
      <w:r>
        <w:rPr>
          <w:rFonts w:eastAsia="Times New Roman"/>
        </w:rPr>
        <w:t>primärlitteratur utvecklas (</w:t>
      </w:r>
      <w:r>
        <w:t>Chalmers, Cooper &amp;. Hedges 2002; Bohlin 2012)</w:t>
      </w:r>
      <w:r>
        <w:rPr>
          <w:rFonts w:eastAsia="Times New Roman"/>
        </w:rPr>
        <w:t xml:space="preserve">. En ström av nya metoder för syntes har senare lanserats, många av dem utformade för att hantera kvalitativa studier eller för att kombinera kvalitativa och kvantitativa resultat. “Systematisk” </w:t>
      </w:r>
      <w:r>
        <w:rPr>
          <w:rFonts w:eastAsia="Times New Roman"/>
        </w:rPr>
        <w:lastRenderedPageBreak/>
        <w:t xml:space="preserve">har blivit ett honnörsord, och även </w:t>
      </w:r>
      <w:r w:rsidRPr="000E7D6F">
        <w:rPr>
          <w:rFonts w:eastAsia="Times New Roman"/>
        </w:rPr>
        <w:t xml:space="preserve">översikter </w:t>
      </w:r>
      <w:r>
        <w:rPr>
          <w:rFonts w:eastAsia="Times New Roman"/>
        </w:rPr>
        <w:t xml:space="preserve">av </w:t>
      </w:r>
      <w:r w:rsidRPr="00283F9E">
        <w:rPr>
          <w:rFonts w:eastAsia="Times New Roman"/>
        </w:rPr>
        <w:t xml:space="preserve">kvalitativ </w:t>
      </w:r>
      <w:r>
        <w:rPr>
          <w:rFonts w:eastAsia="Times New Roman"/>
        </w:rPr>
        <w:t xml:space="preserve">forskning baserade på </w:t>
      </w:r>
      <w:r w:rsidR="00A672C9">
        <w:rPr>
          <w:rFonts w:eastAsia="Times New Roman"/>
        </w:rPr>
        <w:t xml:space="preserve">metoder </w:t>
      </w:r>
      <w:r>
        <w:rPr>
          <w:rFonts w:eastAsia="Times New Roman"/>
        </w:rPr>
        <w:t xml:space="preserve">som avsevärt avviker från de etablerade </w:t>
      </w:r>
      <w:r w:rsidR="00A672C9">
        <w:rPr>
          <w:rFonts w:eastAsia="Times New Roman"/>
        </w:rPr>
        <w:t xml:space="preserve">formaten </w:t>
      </w:r>
      <w:r>
        <w:rPr>
          <w:rFonts w:eastAsia="Times New Roman"/>
        </w:rPr>
        <w:t xml:space="preserve">för </w:t>
      </w:r>
      <w:r w:rsidRPr="000E7D6F">
        <w:rPr>
          <w:rFonts w:eastAsia="Times New Roman"/>
        </w:rPr>
        <w:t xml:space="preserve">kvantitativ </w:t>
      </w:r>
      <w:r>
        <w:rPr>
          <w:rFonts w:eastAsia="Times New Roman"/>
        </w:rPr>
        <w:t xml:space="preserve">syntes rubriceras ofta </w:t>
      </w:r>
      <w:r w:rsidRPr="000E7D6F">
        <w:rPr>
          <w:rFonts w:eastAsia="Times New Roman"/>
        </w:rPr>
        <w:t xml:space="preserve">systematiska </w:t>
      </w:r>
      <w:r>
        <w:rPr>
          <w:rFonts w:eastAsia="Times New Roman"/>
        </w:rPr>
        <w:t>översikter.</w:t>
      </w:r>
    </w:p>
    <w:p w14:paraId="5C1D60AD" w14:textId="77777777" w:rsidR="00B906B0" w:rsidRDefault="00B906B0" w:rsidP="00B906B0">
      <w:pPr>
        <w:rPr>
          <w:rFonts w:eastAsia="Times New Roman"/>
        </w:rPr>
      </w:pPr>
    </w:p>
    <w:p w14:paraId="6E12BAC4" w14:textId="77777777" w:rsidR="00B906B0" w:rsidRDefault="00B906B0" w:rsidP="00B906B0">
      <w:pPr>
        <w:rPr>
          <w:rFonts w:eastAsia="Times New Roman"/>
        </w:rPr>
      </w:pPr>
      <w:r>
        <w:rPr>
          <w:rFonts w:eastAsia="Times New Roman"/>
        </w:rPr>
        <w:t xml:space="preserve">Konceptet </w:t>
      </w:r>
      <w:r w:rsidRPr="004F614D">
        <w:rPr>
          <w:rFonts w:eastAsia="Times New Roman"/>
        </w:rPr>
        <w:t xml:space="preserve">evidensbaserad medicin </w:t>
      </w:r>
      <w:r>
        <w:rPr>
          <w:rFonts w:eastAsia="Times New Roman"/>
        </w:rPr>
        <w:t xml:space="preserve">extrapolerades inom några år till </w:t>
      </w:r>
      <w:r w:rsidRPr="004F614D">
        <w:rPr>
          <w:rFonts w:eastAsia="Times New Roman"/>
        </w:rPr>
        <w:t xml:space="preserve">evidensbaserad </w:t>
      </w:r>
      <w:r>
        <w:rPr>
          <w:rFonts w:eastAsia="Times New Roman"/>
        </w:rPr>
        <w:t xml:space="preserve">praktik och policy, och har lett till genomgripande förändringar av kunskapsförsörjningen inom vård och flera andra samhällssektorer. Den s k evidensrörelsen har redan från början haft starka band till research synthesis. Cochrane (tidigare the Cochrane Collaboration), den ledande internationella organisationen för produktion av </w:t>
      </w:r>
      <w:r w:rsidRPr="00190E58">
        <w:rPr>
          <w:rFonts w:eastAsia="Times New Roman"/>
        </w:rPr>
        <w:t xml:space="preserve">systematiska </w:t>
      </w:r>
      <w:r>
        <w:rPr>
          <w:rFonts w:eastAsia="Times New Roman"/>
        </w:rPr>
        <w:t xml:space="preserve">översikter, utgör en hörnsten för evidensrörelsen. Inom utbildningsområdet har metaanalyser publicerats sedan slutet av 1970-talet, och </w:t>
      </w:r>
      <w:r w:rsidRPr="005113A6">
        <w:rPr>
          <w:rFonts w:eastAsia="Times New Roman"/>
        </w:rPr>
        <w:t xml:space="preserve">systematiska översikter </w:t>
      </w:r>
      <w:r>
        <w:rPr>
          <w:rFonts w:eastAsia="Times New Roman"/>
        </w:rPr>
        <w:t xml:space="preserve">sedan år 2000. Den ledande organisationen är </w:t>
      </w:r>
      <w:r w:rsidRPr="00CC09D1">
        <w:rPr>
          <w:rFonts w:eastAsia="Times New Roman"/>
        </w:rPr>
        <w:t xml:space="preserve">EPPI-Centre </w:t>
      </w:r>
      <w:r>
        <w:rPr>
          <w:rFonts w:eastAsia="Times New Roman"/>
        </w:rPr>
        <w:t xml:space="preserve">vid </w:t>
      </w:r>
      <w:r w:rsidRPr="00CC09D1">
        <w:rPr>
          <w:rFonts w:eastAsia="Times New Roman"/>
        </w:rPr>
        <w:t xml:space="preserve">University </w:t>
      </w:r>
      <w:r>
        <w:rPr>
          <w:rFonts w:eastAsia="Times New Roman"/>
        </w:rPr>
        <w:t xml:space="preserve">of London, som producerar </w:t>
      </w:r>
      <w:r w:rsidRPr="00885FB7">
        <w:rPr>
          <w:rFonts w:eastAsia="Times New Roman"/>
        </w:rPr>
        <w:t xml:space="preserve">systematiska översikter </w:t>
      </w:r>
      <w:r w:rsidR="00360817">
        <w:rPr>
          <w:rFonts w:eastAsia="Times New Roman"/>
        </w:rPr>
        <w:t xml:space="preserve">inte bara för utbildningsområdet, utan för </w:t>
      </w:r>
      <w:r>
        <w:rPr>
          <w:rFonts w:eastAsia="Times New Roman"/>
        </w:rPr>
        <w:t>hela det fält som i Storbritannien kallas “</w:t>
      </w:r>
      <w:r w:rsidRPr="00885FB7">
        <w:rPr>
          <w:rFonts w:eastAsia="Times New Roman"/>
        </w:rPr>
        <w:t xml:space="preserve">social </w:t>
      </w:r>
      <w:r>
        <w:rPr>
          <w:rFonts w:eastAsia="Times New Roman"/>
        </w:rPr>
        <w:t>policy</w:t>
      </w:r>
      <w:r w:rsidR="00360817">
        <w:rPr>
          <w:rFonts w:eastAsia="Times New Roman"/>
        </w:rPr>
        <w:t>”</w:t>
      </w:r>
      <w:r>
        <w:rPr>
          <w:rFonts w:eastAsia="Times New Roman"/>
        </w:rPr>
        <w:t xml:space="preserve">. Enhetens fullständiga namn, the </w:t>
      </w:r>
      <w:r w:rsidRPr="006B3F19">
        <w:rPr>
          <w:rFonts w:eastAsia="Times New Roman"/>
        </w:rPr>
        <w:t>Evidence for Policy and Practice Information and Coordinating Centre</w:t>
      </w:r>
      <w:r>
        <w:rPr>
          <w:rFonts w:eastAsia="Times New Roman"/>
        </w:rPr>
        <w:t>, skvallrar om kopplingen till evidensrörelsen.</w:t>
      </w:r>
    </w:p>
    <w:p w14:paraId="5F93DCF3" w14:textId="77777777" w:rsidR="00B906B0" w:rsidRDefault="00B906B0" w:rsidP="00B906B0">
      <w:pPr>
        <w:rPr>
          <w:rFonts w:eastAsia="Times New Roman"/>
        </w:rPr>
      </w:pPr>
    </w:p>
    <w:p w14:paraId="469037E9" w14:textId="77777777" w:rsidR="00B906B0" w:rsidRDefault="00B906B0" w:rsidP="00B906B0">
      <w:pPr>
        <w:rPr>
          <w:rFonts w:eastAsia="Times New Roman"/>
        </w:rPr>
      </w:pPr>
      <w:r>
        <w:rPr>
          <w:rFonts w:eastAsia="Times New Roman"/>
        </w:rPr>
        <w:t xml:space="preserve">Till följd av denna rörelses framgångar har </w:t>
      </w:r>
      <w:r w:rsidRPr="009873DE">
        <w:rPr>
          <w:rFonts w:eastAsia="Times New Roman"/>
        </w:rPr>
        <w:t xml:space="preserve">systematiska översikter </w:t>
      </w:r>
      <w:r>
        <w:rPr>
          <w:rFonts w:eastAsia="Times New Roman"/>
        </w:rPr>
        <w:t xml:space="preserve">kommit att spela en nyckelroll i strävanden att garantera en </w:t>
      </w:r>
      <w:r w:rsidRPr="00FE1B2D">
        <w:rPr>
          <w:rFonts w:eastAsia="Times New Roman"/>
        </w:rPr>
        <w:t xml:space="preserve">vetenskaplig </w:t>
      </w:r>
      <w:r>
        <w:rPr>
          <w:rFonts w:eastAsia="Times New Roman"/>
        </w:rPr>
        <w:t xml:space="preserve">grund för </w:t>
      </w:r>
      <w:r w:rsidR="00360817">
        <w:rPr>
          <w:rFonts w:eastAsia="Times New Roman"/>
        </w:rPr>
        <w:t xml:space="preserve">många </w:t>
      </w:r>
      <w:r>
        <w:rPr>
          <w:rFonts w:eastAsia="Times New Roman"/>
        </w:rPr>
        <w:t xml:space="preserve">samhällsviktiga verksamheter, främst inom vård, skola och omsorg. Kärnan i </w:t>
      </w:r>
      <w:r w:rsidRPr="005F4168">
        <w:rPr>
          <w:rFonts w:eastAsia="Times New Roman"/>
        </w:rPr>
        <w:t xml:space="preserve">systematiska översikter </w:t>
      </w:r>
      <w:r>
        <w:rPr>
          <w:rFonts w:eastAsia="Times New Roman"/>
        </w:rPr>
        <w:t xml:space="preserve">är den formaliserade metodologin. I Sverige har ett stort antal </w:t>
      </w:r>
      <w:r w:rsidRPr="005F4168">
        <w:rPr>
          <w:rFonts w:eastAsia="Times New Roman"/>
        </w:rPr>
        <w:t xml:space="preserve">översikter </w:t>
      </w:r>
      <w:r>
        <w:rPr>
          <w:rFonts w:eastAsia="Times New Roman"/>
        </w:rPr>
        <w:t xml:space="preserve">av </w:t>
      </w:r>
      <w:r w:rsidRPr="005F4168">
        <w:rPr>
          <w:rFonts w:eastAsia="Times New Roman"/>
        </w:rPr>
        <w:t xml:space="preserve">utbildningsvetenskaplig forskning </w:t>
      </w:r>
      <w:r>
        <w:rPr>
          <w:rFonts w:eastAsia="Times New Roman"/>
        </w:rPr>
        <w:t xml:space="preserve">producerats sedan 1990-talet, bl a för Skolverkets och Vetenskapsrådets räkning, men det är först med </w:t>
      </w:r>
      <w:r w:rsidRPr="00A80E7E">
        <w:rPr>
          <w:rFonts w:eastAsia="Times New Roman"/>
        </w:rPr>
        <w:t>Skolf</w:t>
      </w:r>
      <w:r>
        <w:rPr>
          <w:rFonts w:eastAsia="Times New Roman"/>
        </w:rPr>
        <w:t xml:space="preserve">orskningsinstitutet som formaliserade procedurer på allvar har </w:t>
      </w:r>
      <w:r w:rsidR="00360817">
        <w:rPr>
          <w:rFonts w:eastAsia="Times New Roman"/>
        </w:rPr>
        <w:t xml:space="preserve">tagits i bruk </w:t>
      </w:r>
      <w:r>
        <w:rPr>
          <w:rFonts w:eastAsia="Times New Roman"/>
        </w:rPr>
        <w:t>för detta ändamål. När institut</w:t>
      </w:r>
      <w:r w:rsidR="00360817">
        <w:rPr>
          <w:rFonts w:eastAsia="Times New Roman"/>
        </w:rPr>
        <w:t>et</w:t>
      </w:r>
      <w:r>
        <w:rPr>
          <w:rFonts w:eastAsia="Times New Roman"/>
        </w:rPr>
        <w:t xml:space="preserve"> inrättades 2015 existerade redan liknande enheter i våra grannländer Danmark och Norge. Den politiska bakgrunden i Sverige har varit komplicerad, och det var först efter att svenska skolelevers resultat i en PISA-undersökning </w:t>
      </w:r>
      <w:r w:rsidR="00360817">
        <w:rPr>
          <w:rFonts w:eastAsia="Times New Roman"/>
        </w:rPr>
        <w:t xml:space="preserve">blev en allvarlig belastning för den sittande regeringen </w:t>
      </w:r>
      <w:r>
        <w:rPr>
          <w:rFonts w:eastAsia="Times New Roman"/>
        </w:rPr>
        <w:t xml:space="preserve">som </w:t>
      </w:r>
      <w:r w:rsidR="00360817">
        <w:rPr>
          <w:rFonts w:eastAsia="Times New Roman"/>
        </w:rPr>
        <w:t xml:space="preserve">beslutet </w:t>
      </w:r>
      <w:r>
        <w:rPr>
          <w:rFonts w:eastAsia="Times New Roman"/>
        </w:rPr>
        <w:t xml:space="preserve">att skapa en myndighet för </w:t>
      </w:r>
      <w:r w:rsidRPr="00A80E7E">
        <w:rPr>
          <w:rFonts w:eastAsia="Times New Roman"/>
        </w:rPr>
        <w:t xml:space="preserve">systematiska </w:t>
      </w:r>
      <w:r>
        <w:rPr>
          <w:rFonts w:eastAsia="Times New Roman"/>
        </w:rPr>
        <w:t xml:space="preserve">sammanställningar av </w:t>
      </w:r>
      <w:r w:rsidRPr="00A80E7E">
        <w:rPr>
          <w:rFonts w:eastAsia="Times New Roman"/>
        </w:rPr>
        <w:t xml:space="preserve">utbildningsvetenskaplig kunskap </w:t>
      </w:r>
      <w:r>
        <w:rPr>
          <w:rFonts w:eastAsia="Times New Roman"/>
        </w:rPr>
        <w:t>togs.</w:t>
      </w:r>
    </w:p>
    <w:p w14:paraId="25BDB31F" w14:textId="77777777" w:rsidR="00B906B0" w:rsidRDefault="00B906B0" w:rsidP="00B906B0">
      <w:pPr>
        <w:rPr>
          <w:rFonts w:eastAsia="Times New Roman"/>
        </w:rPr>
      </w:pPr>
    </w:p>
    <w:p w14:paraId="798D7F0E" w14:textId="77777777" w:rsidR="00B906B0" w:rsidRDefault="00B906B0" w:rsidP="00B906B0">
      <w:pPr>
        <w:rPr>
          <w:rFonts w:eastAsia="Times New Roman"/>
        </w:rPr>
      </w:pPr>
      <w:r>
        <w:rPr>
          <w:rFonts w:eastAsia="Times New Roman"/>
        </w:rPr>
        <w:t xml:space="preserve">Det </w:t>
      </w:r>
      <w:r w:rsidRPr="00A56E4B">
        <w:rPr>
          <w:rFonts w:eastAsia="Times New Roman"/>
        </w:rPr>
        <w:t>evidensbaserad</w:t>
      </w:r>
      <w:r>
        <w:rPr>
          <w:rFonts w:eastAsia="Times New Roman"/>
        </w:rPr>
        <w:t>e konceptet har från ett mycket tidigt stadium</w:t>
      </w:r>
      <w:r w:rsidR="00CA1AD6">
        <w:rPr>
          <w:rFonts w:eastAsia="Times New Roman"/>
        </w:rPr>
        <w:t xml:space="preserve"> gett upphov till kritik</w:t>
      </w:r>
      <w:r>
        <w:rPr>
          <w:rFonts w:eastAsia="Times New Roman"/>
        </w:rPr>
        <w:t xml:space="preserve">. I centrum för kritiken har s k evidenshierarkier stått. Dessa hierarkier </w:t>
      </w:r>
      <w:r w:rsidR="00CA1AD6">
        <w:rPr>
          <w:rFonts w:eastAsia="Times New Roman"/>
        </w:rPr>
        <w:t>förekommer</w:t>
      </w:r>
      <w:r>
        <w:rPr>
          <w:rFonts w:eastAsia="Times New Roman"/>
        </w:rPr>
        <w:t xml:space="preserve"> i olika versioner, men </w:t>
      </w:r>
      <w:r w:rsidRPr="007D17B7">
        <w:rPr>
          <w:rFonts w:eastAsia="Times New Roman"/>
        </w:rPr>
        <w:t xml:space="preserve">systematiska översikter </w:t>
      </w:r>
      <w:r>
        <w:rPr>
          <w:rFonts w:eastAsia="Times New Roman"/>
        </w:rPr>
        <w:t xml:space="preserve">av resultaten av randomiserade experiment placeras alltid överst, som </w:t>
      </w:r>
      <w:r w:rsidR="00CA1AD6">
        <w:rPr>
          <w:rFonts w:eastAsia="Times New Roman"/>
        </w:rPr>
        <w:t xml:space="preserve">den </w:t>
      </w:r>
      <w:r>
        <w:rPr>
          <w:rFonts w:eastAsia="Times New Roman"/>
        </w:rPr>
        <w:t>mest tillförlitliga typ</w:t>
      </w:r>
      <w:r w:rsidR="00CA1AD6">
        <w:rPr>
          <w:rFonts w:eastAsia="Times New Roman"/>
        </w:rPr>
        <w:t>en</w:t>
      </w:r>
      <w:r>
        <w:rPr>
          <w:rFonts w:eastAsia="Times New Roman"/>
        </w:rPr>
        <w:t xml:space="preserve"> av kunskap, medan kvalitativa studier och experters uppfattningar rankas mycket lågt. Det prioriterande av formaliserade procedurer som kommer till uttryck i evidenshierarkin </w:t>
      </w:r>
      <w:r>
        <w:rPr>
          <w:rFonts w:eastAsia="Times New Roman"/>
        </w:rPr>
        <w:lastRenderedPageBreak/>
        <w:t xml:space="preserve">står i motsättning till en betoning av </w:t>
      </w:r>
      <w:r w:rsidR="00CA1AD6">
        <w:rPr>
          <w:rFonts w:eastAsia="Times New Roman"/>
        </w:rPr>
        <w:t>vikten</w:t>
      </w:r>
      <w:r>
        <w:rPr>
          <w:rFonts w:eastAsia="Times New Roman"/>
        </w:rPr>
        <w:t xml:space="preserve"> av professionellt omdöme. Som svar på kritik som tidigt riktades </w:t>
      </w:r>
      <w:r w:rsidR="00CA1AD6">
        <w:rPr>
          <w:rFonts w:eastAsia="Times New Roman"/>
        </w:rPr>
        <w:t xml:space="preserve">mot </w:t>
      </w:r>
      <w:r>
        <w:rPr>
          <w:rFonts w:eastAsia="Times New Roman"/>
        </w:rPr>
        <w:t>det evi</w:t>
      </w:r>
      <w:r w:rsidR="00CA1AD6">
        <w:rPr>
          <w:rFonts w:eastAsia="Times New Roman"/>
        </w:rPr>
        <w:t>d</w:t>
      </w:r>
      <w:r w:rsidR="002548CB">
        <w:rPr>
          <w:rFonts w:eastAsia="Times New Roman"/>
        </w:rPr>
        <w:t>ensbegrepp rörelsen förespråkat</w:t>
      </w:r>
      <w:r>
        <w:rPr>
          <w:rFonts w:eastAsia="Times New Roman"/>
        </w:rPr>
        <w:t xml:space="preserve"> </w:t>
      </w:r>
      <w:r w:rsidR="002548CB">
        <w:rPr>
          <w:rFonts w:eastAsia="Times New Roman"/>
        </w:rPr>
        <w:t xml:space="preserve">föreslog </w:t>
      </w:r>
      <w:r>
        <w:rPr>
          <w:rFonts w:eastAsia="Times New Roman"/>
        </w:rPr>
        <w:t xml:space="preserve">några av dess ledande företrädare </w:t>
      </w:r>
      <w:r w:rsidR="002548CB">
        <w:rPr>
          <w:rFonts w:eastAsia="Times New Roman"/>
        </w:rPr>
        <w:t>en viss modifiering</w:t>
      </w:r>
      <w:r>
        <w:rPr>
          <w:rFonts w:eastAsia="Times New Roman"/>
        </w:rPr>
        <w:t xml:space="preserve"> av grundkonceptet, men konflikten består. Den gör sig gällande inte minst inom utbildningsområdet. Inom svensk </w:t>
      </w:r>
      <w:r w:rsidRPr="00B73177">
        <w:rPr>
          <w:rFonts w:eastAsia="Times New Roman"/>
        </w:rPr>
        <w:t xml:space="preserve">utbildningsvetenskaplig forskning </w:t>
      </w:r>
      <w:r>
        <w:rPr>
          <w:rFonts w:eastAsia="Times New Roman"/>
        </w:rPr>
        <w:t xml:space="preserve">har motståndet mot såväl idén om </w:t>
      </w:r>
      <w:r w:rsidRPr="008E1D55">
        <w:rPr>
          <w:rFonts w:eastAsia="Times New Roman"/>
        </w:rPr>
        <w:t xml:space="preserve">evidensbaserad </w:t>
      </w:r>
      <w:r>
        <w:rPr>
          <w:rFonts w:eastAsia="Times New Roman"/>
        </w:rPr>
        <w:t xml:space="preserve">praktik som formaliserade metoder för syntes länge varit starkt (se Bohlin 2010 och 2018). I en artikel publicerad 2009 användes initiativ för att identifera effektiva metoder mot mobbning som exempel på grundläggande problem som strävanden att utsträcka det </w:t>
      </w:r>
      <w:r w:rsidRPr="00DF3905">
        <w:rPr>
          <w:rFonts w:eastAsia="Times New Roman"/>
        </w:rPr>
        <w:t>evidensbaserad</w:t>
      </w:r>
      <w:r>
        <w:rPr>
          <w:rFonts w:eastAsia="Times New Roman"/>
        </w:rPr>
        <w:t>e konceptet till skolverksamhet står inför. “Vi menar”, skrev artikelns författare i en central passage,</w:t>
      </w:r>
    </w:p>
    <w:p w14:paraId="44503146" w14:textId="77777777" w:rsidR="00B906B0" w:rsidRDefault="00B906B0" w:rsidP="00B906B0">
      <w:pPr>
        <w:rPr>
          <w:rFonts w:eastAsia="Times New Roman"/>
        </w:rPr>
      </w:pPr>
    </w:p>
    <w:p w14:paraId="537F2791" w14:textId="77777777" w:rsidR="00B906B0" w:rsidRDefault="00B906B0" w:rsidP="00B906B0">
      <w:pPr>
        <w:pStyle w:val="Cit"/>
      </w:pPr>
      <w:r w:rsidRPr="00487B40">
        <w:t>att det är betydelsefullt att se diskussionen om evidensbaserat arbete generellt mot bakgrund av demokratifrågor. Vem ska ha makten över skolans mobbningsarbete? Att myndigheter och forskare åläggs att utarbeta metoder som sedan ska implementeras i den vardagliga verksamheten kan ses som en (åter)förskjutning i demokratin från det lokala till det centrala.</w:t>
      </w:r>
      <w:r>
        <w:t xml:space="preserve"> (Evaldsson &amp; Nilholm 2009, 78)</w:t>
      </w:r>
    </w:p>
    <w:p w14:paraId="501DB70C" w14:textId="77777777" w:rsidR="00B906B0" w:rsidRDefault="00B906B0" w:rsidP="00B906B0">
      <w:pPr>
        <w:rPr>
          <w:rFonts w:eastAsia="Times New Roman"/>
        </w:rPr>
      </w:pPr>
    </w:p>
    <w:p w14:paraId="1F042B3E" w14:textId="77777777" w:rsidR="00B906B0" w:rsidRDefault="00B906B0" w:rsidP="00B906B0">
      <w:pPr>
        <w:rPr>
          <w:rFonts w:eastAsia="Times New Roman"/>
        </w:rPr>
      </w:pPr>
      <w:r>
        <w:rPr>
          <w:rFonts w:eastAsia="Times New Roman"/>
        </w:rPr>
        <w:t xml:space="preserve">Föreställningen att det skulle vara en demokratisk rättighet för lärare att ignorera forskningsrön av relevans för deras undervisning må förefalla bisarr, men resonemanget illustrerar konflikten mellan </w:t>
      </w:r>
      <w:r w:rsidR="00E91C6A">
        <w:rPr>
          <w:rFonts w:eastAsia="Times New Roman"/>
        </w:rPr>
        <w:t xml:space="preserve">centralt utarbetade beslutsstöd </w:t>
      </w:r>
      <w:r>
        <w:rPr>
          <w:rFonts w:eastAsia="Times New Roman"/>
        </w:rPr>
        <w:t>och professionella gruppers erfarenhetsbaserade kunskap. I ett bidrag till en nyligen utgiven antologi placerar utbildningsvet</w:t>
      </w:r>
      <w:r w:rsidRPr="00DB4F15">
        <w:rPr>
          <w:rFonts w:eastAsia="Times New Roman"/>
        </w:rPr>
        <w:t xml:space="preserve">arna </w:t>
      </w:r>
      <w:r>
        <w:rPr>
          <w:rFonts w:eastAsia="Times New Roman"/>
        </w:rPr>
        <w:t xml:space="preserve">Carl-Henrik Adolfsson, Eva Forsberg och Daniel Sundberg in </w:t>
      </w:r>
      <w:r w:rsidRPr="00930A8C">
        <w:rPr>
          <w:rFonts w:eastAsia="Times New Roman"/>
        </w:rPr>
        <w:t xml:space="preserve">Skolforskningsinstitutet </w:t>
      </w:r>
      <w:r>
        <w:rPr>
          <w:rFonts w:eastAsia="Times New Roman"/>
        </w:rPr>
        <w:t xml:space="preserve">i ett sammanhang i vilket denna konflikt är central. I Sverige har, enligt </w:t>
      </w:r>
      <w:r w:rsidR="00E91C6A">
        <w:rPr>
          <w:rFonts w:eastAsia="Times New Roman"/>
        </w:rPr>
        <w:t>Adolfsson och hans kolleger</w:t>
      </w:r>
      <w:r>
        <w:rPr>
          <w:rFonts w:eastAsia="Times New Roman"/>
        </w:rPr>
        <w:t xml:space="preserve">, evidensrörelsen “samverkat </w:t>
      </w:r>
      <w:r w:rsidRPr="00DA20B9">
        <w:rPr>
          <w:rFonts w:eastAsia="Times New Roman"/>
        </w:rPr>
        <w:t>med offensiva reformstrategier för att</w:t>
      </w:r>
      <w:r>
        <w:rPr>
          <w:rFonts w:eastAsia="Times New Roman"/>
        </w:rPr>
        <w:t xml:space="preserve"> införliva forskningen i skolan”. Under 1990-t</w:t>
      </w:r>
      <w:r w:rsidR="00E91C6A">
        <w:rPr>
          <w:rFonts w:eastAsia="Times New Roman"/>
        </w:rPr>
        <w:t xml:space="preserve">alet och 2000-talets första år, </w:t>
      </w:r>
      <w:r>
        <w:rPr>
          <w:rFonts w:eastAsia="Times New Roman"/>
        </w:rPr>
        <w:t>hävdar</w:t>
      </w:r>
      <w:r w:rsidR="00E91C6A">
        <w:rPr>
          <w:rFonts w:eastAsia="Times New Roman"/>
        </w:rPr>
        <w:t xml:space="preserve"> de</w:t>
      </w:r>
      <w:r>
        <w:rPr>
          <w:rFonts w:eastAsia="Times New Roman"/>
        </w:rPr>
        <w:t xml:space="preserve">, lyftes lärares erfarenhetsbaserade </w:t>
      </w:r>
      <w:r w:rsidRPr="00ED7A29">
        <w:rPr>
          <w:rFonts w:eastAsia="Times New Roman"/>
        </w:rPr>
        <w:t xml:space="preserve">kunskap </w:t>
      </w:r>
      <w:r>
        <w:rPr>
          <w:rFonts w:eastAsia="Times New Roman"/>
        </w:rPr>
        <w:t>fram i olika styrdokument “</w:t>
      </w:r>
      <w:r w:rsidRPr="00F720E4">
        <w:rPr>
          <w:rFonts w:eastAsia="Times New Roman"/>
        </w:rPr>
        <w:t>som en viktig grund för att</w:t>
      </w:r>
      <w:r>
        <w:rPr>
          <w:rFonts w:eastAsia="Times New Roman"/>
        </w:rPr>
        <w:t xml:space="preserve"> utveckla undervisningen”, men några år senare inträdde ett skifte:</w:t>
      </w:r>
    </w:p>
    <w:p w14:paraId="7DFBA1DE" w14:textId="77777777" w:rsidR="00B906B0" w:rsidRDefault="00B906B0" w:rsidP="00B906B0">
      <w:pPr>
        <w:rPr>
          <w:rFonts w:eastAsia="Times New Roman"/>
        </w:rPr>
      </w:pPr>
    </w:p>
    <w:p w14:paraId="397DB244" w14:textId="77777777" w:rsidR="00B906B0" w:rsidRDefault="00B906B0" w:rsidP="00B906B0">
      <w:pPr>
        <w:pStyle w:val="Cit"/>
      </w:pPr>
      <w:r w:rsidRPr="0043237C">
        <w:t>Ett allt hårdare externt politiskt</w:t>
      </w:r>
      <w:r>
        <w:t xml:space="preserve"> </w:t>
      </w:r>
      <w:r w:rsidRPr="0043237C">
        <w:t>tryck, i form av bland annat ökad uppmärksamhet på skolans</w:t>
      </w:r>
      <w:r>
        <w:t xml:space="preserve"> </w:t>
      </w:r>
      <w:r w:rsidRPr="0043237C">
        <w:t>resultat, följdes av en uppstramad syn på vilken forskning som</w:t>
      </w:r>
      <w:r>
        <w:t xml:space="preserve"> </w:t>
      </w:r>
      <w:r w:rsidRPr="0043237C">
        <w:t>skulle utgöra den ”vetenskapliga grunden” för skolan. Parallellt</w:t>
      </w:r>
      <w:r>
        <w:t xml:space="preserve"> </w:t>
      </w:r>
      <w:r w:rsidRPr="0043237C">
        <w:t>med denna utveckling blev också strategierna för att forskningsbasera</w:t>
      </w:r>
      <w:r>
        <w:t xml:space="preserve"> </w:t>
      </w:r>
      <w:r w:rsidRPr="0043237C">
        <w:t>skolan alltmer offensiva til</w:t>
      </w:r>
      <w:r>
        <w:t xml:space="preserve">l sin karaktär, vilket medförde </w:t>
      </w:r>
      <w:r w:rsidRPr="0043237C">
        <w:t>ett tydligare fokus på lärarnas undervisning.</w:t>
      </w:r>
    </w:p>
    <w:p w14:paraId="262CB4D8" w14:textId="77777777" w:rsidR="00B906B0" w:rsidRDefault="00B906B0" w:rsidP="00B906B0">
      <w:pPr>
        <w:rPr>
          <w:rFonts w:eastAsia="Times New Roman"/>
        </w:rPr>
      </w:pPr>
    </w:p>
    <w:p w14:paraId="1C2289A7" w14:textId="77777777" w:rsidR="00B906B0" w:rsidRDefault="00B906B0" w:rsidP="00B906B0">
      <w:pPr>
        <w:rPr>
          <w:rFonts w:eastAsia="Times New Roman"/>
        </w:rPr>
      </w:pPr>
      <w:r>
        <w:rPr>
          <w:rFonts w:eastAsia="Times New Roman"/>
        </w:rPr>
        <w:lastRenderedPageBreak/>
        <w:t>Beslutet att inrätta ett Skolforskningsinstitut</w:t>
      </w:r>
      <w:r w:rsidRPr="0043237C">
        <w:rPr>
          <w:rFonts w:eastAsia="Times New Roman"/>
        </w:rPr>
        <w:t xml:space="preserve"> </w:t>
      </w:r>
      <w:r>
        <w:rPr>
          <w:rFonts w:eastAsia="Times New Roman"/>
        </w:rPr>
        <w:t>är</w:t>
      </w:r>
      <w:r w:rsidR="00CA0878">
        <w:rPr>
          <w:rFonts w:eastAsia="Times New Roman"/>
        </w:rPr>
        <w:t>,</w:t>
      </w:r>
      <w:r>
        <w:rPr>
          <w:rFonts w:eastAsia="Times New Roman"/>
        </w:rPr>
        <w:t xml:space="preserve"> </w:t>
      </w:r>
      <w:r w:rsidR="00CA0878">
        <w:rPr>
          <w:rFonts w:eastAsia="Times New Roman"/>
        </w:rPr>
        <w:t xml:space="preserve">heter det vidare, </w:t>
      </w:r>
      <w:r>
        <w:rPr>
          <w:rFonts w:eastAsia="Times New Roman"/>
        </w:rPr>
        <w:t xml:space="preserve">ett uttryck för detta skifte. </w:t>
      </w:r>
      <w:r w:rsidR="00CA0878">
        <w:rPr>
          <w:rFonts w:eastAsia="Times New Roman"/>
        </w:rPr>
        <w:t xml:space="preserve">Institutets verksamhet </w:t>
      </w:r>
      <w:r>
        <w:rPr>
          <w:rFonts w:eastAsia="Times New Roman"/>
        </w:rPr>
        <w:t>kan betraktas</w:t>
      </w:r>
    </w:p>
    <w:p w14:paraId="74079492" w14:textId="77777777" w:rsidR="00B906B0" w:rsidRDefault="00B906B0" w:rsidP="00B906B0">
      <w:pPr>
        <w:rPr>
          <w:rFonts w:eastAsia="Times New Roman"/>
        </w:rPr>
      </w:pPr>
    </w:p>
    <w:p w14:paraId="61DB9B20" w14:textId="77777777" w:rsidR="00B906B0" w:rsidRDefault="00B906B0" w:rsidP="00B906B0">
      <w:pPr>
        <w:pStyle w:val="Cit"/>
      </w:pPr>
      <w:r w:rsidRPr="00CE5899">
        <w:t>som ett tydligt</w:t>
      </w:r>
      <w:r>
        <w:t xml:space="preserve"> </w:t>
      </w:r>
      <w:r w:rsidRPr="00CE5899">
        <w:t>exempel på en sådan offensiv strategi och ambition att få forskni</w:t>
      </w:r>
      <w:r>
        <w:t xml:space="preserve">ngen </w:t>
      </w:r>
      <w:r w:rsidRPr="00CE5899">
        <w:t>att nå ända in i klassrummet</w:t>
      </w:r>
      <w:r>
        <w:t>. (Adolfsson, Forsberg &amp; Sundberg 2018, 95-96)</w:t>
      </w:r>
    </w:p>
    <w:p w14:paraId="40DAFEA8" w14:textId="77777777" w:rsidR="00B906B0" w:rsidRDefault="00B906B0" w:rsidP="00B906B0">
      <w:pPr>
        <w:rPr>
          <w:rFonts w:eastAsia="Times New Roman"/>
        </w:rPr>
      </w:pPr>
    </w:p>
    <w:p w14:paraId="2C683951" w14:textId="53347E29" w:rsidR="00CA0878" w:rsidRDefault="00B906B0" w:rsidP="00B906B0">
      <w:pPr>
        <w:rPr>
          <w:rFonts w:eastAsia="Times New Roman"/>
        </w:rPr>
      </w:pPr>
      <w:r>
        <w:rPr>
          <w:rFonts w:eastAsia="Times New Roman"/>
        </w:rPr>
        <w:t xml:space="preserve">Det är i </w:t>
      </w:r>
      <w:r w:rsidR="005446DF">
        <w:rPr>
          <w:rFonts w:eastAsia="Times New Roman"/>
        </w:rPr>
        <w:t>en situation präglad av hårda ko</w:t>
      </w:r>
      <w:r w:rsidR="00C50DEA">
        <w:rPr>
          <w:rFonts w:eastAsia="Times New Roman"/>
        </w:rPr>
        <w:t>n</w:t>
      </w:r>
      <w:r w:rsidR="005446DF">
        <w:rPr>
          <w:rFonts w:eastAsia="Times New Roman"/>
        </w:rPr>
        <w:t xml:space="preserve">flikter som </w:t>
      </w:r>
      <w:r w:rsidRPr="00100502">
        <w:rPr>
          <w:rFonts w:eastAsia="Times New Roman"/>
        </w:rPr>
        <w:t>Skolforsknings</w:t>
      </w:r>
      <w:r w:rsidR="00C50DEA">
        <w:rPr>
          <w:rFonts w:eastAsia="Times New Roman"/>
        </w:rPr>
        <w:softHyphen/>
      </w:r>
      <w:r w:rsidRPr="00100502">
        <w:rPr>
          <w:rFonts w:eastAsia="Times New Roman"/>
        </w:rPr>
        <w:t xml:space="preserve">institutet </w:t>
      </w:r>
      <w:r>
        <w:rPr>
          <w:rFonts w:eastAsia="Times New Roman"/>
        </w:rPr>
        <w:t xml:space="preserve">inleder sin produktion av </w:t>
      </w:r>
      <w:r w:rsidRPr="00100502">
        <w:rPr>
          <w:rFonts w:eastAsia="Times New Roman"/>
        </w:rPr>
        <w:t xml:space="preserve">systematiska </w:t>
      </w:r>
      <w:r>
        <w:rPr>
          <w:rFonts w:eastAsia="Times New Roman"/>
        </w:rPr>
        <w:t xml:space="preserve">översikter; att </w:t>
      </w:r>
      <w:r w:rsidR="00DF2C3D">
        <w:rPr>
          <w:rFonts w:eastAsia="Times New Roman"/>
        </w:rPr>
        <w:t>b</w:t>
      </w:r>
      <w:r w:rsidR="00CA0878">
        <w:rPr>
          <w:rFonts w:eastAsia="Times New Roman"/>
        </w:rPr>
        <w:t>eskriva det beträdda territoriet</w:t>
      </w:r>
      <w:r w:rsidR="00DF2C3D">
        <w:rPr>
          <w:rFonts w:eastAsia="Times New Roman"/>
        </w:rPr>
        <w:t xml:space="preserve"> som </w:t>
      </w:r>
      <w:r>
        <w:rPr>
          <w:rFonts w:eastAsia="Times New Roman"/>
        </w:rPr>
        <w:t xml:space="preserve">minerad mark är knappast </w:t>
      </w:r>
      <w:r w:rsidR="00CA0878">
        <w:rPr>
          <w:rFonts w:eastAsia="Times New Roman"/>
        </w:rPr>
        <w:t>en</w:t>
      </w:r>
      <w:r>
        <w:rPr>
          <w:rFonts w:eastAsia="Times New Roman"/>
        </w:rPr>
        <w:t xml:space="preserve"> överdrift. I vad som följer kommer det politiska landskapet dock inte</w:t>
      </w:r>
      <w:r w:rsidR="00CA0878">
        <w:rPr>
          <w:rFonts w:eastAsia="Times New Roman"/>
        </w:rPr>
        <w:t xml:space="preserve"> att ägnas någon uppmärksamhet.</w:t>
      </w:r>
    </w:p>
    <w:p w14:paraId="356B9A70" w14:textId="77777777" w:rsidR="00CA0878" w:rsidRDefault="00CA0878" w:rsidP="00B906B0">
      <w:pPr>
        <w:rPr>
          <w:rFonts w:eastAsia="Times New Roman"/>
        </w:rPr>
      </w:pPr>
    </w:p>
    <w:p w14:paraId="7C10957F" w14:textId="77777777" w:rsidR="00B906B0" w:rsidRDefault="00B906B0" w:rsidP="00B906B0">
      <w:pPr>
        <w:rPr>
          <w:rFonts w:eastAsia="Times New Roman"/>
        </w:rPr>
      </w:pPr>
      <w:r>
        <w:rPr>
          <w:rFonts w:eastAsia="Times New Roman"/>
        </w:rPr>
        <w:t xml:space="preserve">Texten består av två delar. </w:t>
      </w:r>
      <w:r w:rsidR="00EB3C47">
        <w:rPr>
          <w:rFonts w:eastAsia="Times New Roman"/>
        </w:rPr>
        <w:t xml:space="preserve">Del </w:t>
      </w:r>
      <w:r>
        <w:rPr>
          <w:rFonts w:eastAsia="Times New Roman"/>
        </w:rPr>
        <w:t xml:space="preserve">I </w:t>
      </w:r>
      <w:r w:rsidR="00A9333E">
        <w:rPr>
          <w:rFonts w:eastAsia="Times New Roman"/>
        </w:rPr>
        <w:t>är en diskussion</w:t>
      </w:r>
      <w:r w:rsidR="00EB3C47">
        <w:rPr>
          <w:rFonts w:eastAsia="Times New Roman"/>
        </w:rPr>
        <w:t xml:space="preserve"> </w:t>
      </w:r>
      <w:r w:rsidR="00CA0878">
        <w:rPr>
          <w:rFonts w:eastAsia="Times New Roman"/>
        </w:rPr>
        <w:t xml:space="preserve">av </w:t>
      </w:r>
      <w:r>
        <w:rPr>
          <w:rFonts w:eastAsia="Times New Roman"/>
        </w:rPr>
        <w:t xml:space="preserve">epistemologiska frågor av betydelse för olika sätt att utföra synteser av </w:t>
      </w:r>
      <w:r w:rsidRPr="002160FE">
        <w:rPr>
          <w:rFonts w:eastAsia="Times New Roman"/>
        </w:rPr>
        <w:t xml:space="preserve">vetenskaplig </w:t>
      </w:r>
      <w:r>
        <w:rPr>
          <w:rFonts w:eastAsia="Times New Roman"/>
        </w:rPr>
        <w:t xml:space="preserve">primärlitteratur. Del II </w:t>
      </w:r>
      <w:r w:rsidR="00EB3C47">
        <w:rPr>
          <w:rFonts w:eastAsia="Times New Roman"/>
        </w:rPr>
        <w:t>är</w:t>
      </w:r>
      <w:r>
        <w:rPr>
          <w:rFonts w:eastAsia="Times New Roman"/>
        </w:rPr>
        <w:t xml:space="preserve"> </w:t>
      </w:r>
      <w:r w:rsidR="00EB3C47">
        <w:rPr>
          <w:rFonts w:eastAsia="Times New Roman"/>
        </w:rPr>
        <w:t>en genomlysning</w:t>
      </w:r>
      <w:r w:rsidR="00A9333E">
        <w:rPr>
          <w:rFonts w:eastAsia="Times New Roman"/>
        </w:rPr>
        <w:t>,</w:t>
      </w:r>
      <w:r w:rsidR="00EB3C47">
        <w:rPr>
          <w:rFonts w:eastAsia="Times New Roman"/>
        </w:rPr>
        <w:t xml:space="preserve"> </w:t>
      </w:r>
      <w:r w:rsidR="00A9333E">
        <w:rPr>
          <w:rFonts w:eastAsia="Times New Roman"/>
        </w:rPr>
        <w:t xml:space="preserve">i vilken begrepp introducerade i del I tillämpas, </w:t>
      </w:r>
      <w:r w:rsidR="00EB3C47">
        <w:rPr>
          <w:rFonts w:eastAsia="Times New Roman"/>
        </w:rPr>
        <w:t xml:space="preserve">av </w:t>
      </w:r>
      <w:r w:rsidRPr="000E48A5">
        <w:rPr>
          <w:rFonts w:eastAsia="Times New Roman"/>
        </w:rPr>
        <w:t>Skolf</w:t>
      </w:r>
      <w:r>
        <w:rPr>
          <w:rFonts w:eastAsia="Times New Roman"/>
        </w:rPr>
        <w:t xml:space="preserve">orskningsinstitutets </w:t>
      </w:r>
      <w:r w:rsidR="00CA0878">
        <w:rPr>
          <w:rFonts w:eastAsia="Times New Roman"/>
        </w:rPr>
        <w:t xml:space="preserve">två första </w:t>
      </w:r>
      <w:r w:rsidRPr="002160FE">
        <w:rPr>
          <w:rFonts w:eastAsia="Times New Roman"/>
        </w:rPr>
        <w:t>översik</w:t>
      </w:r>
      <w:r>
        <w:rPr>
          <w:rFonts w:eastAsia="Times New Roman"/>
        </w:rPr>
        <w:t xml:space="preserve">ter. Efter ett inledande avsnitt om institutets uppdrag och hur verksamheten är organiserad följer en </w:t>
      </w:r>
      <w:r w:rsidR="00EB3C47">
        <w:rPr>
          <w:rFonts w:eastAsia="Times New Roman"/>
        </w:rPr>
        <w:t>grankning</w:t>
      </w:r>
      <w:r>
        <w:rPr>
          <w:rFonts w:eastAsia="Times New Roman"/>
        </w:rPr>
        <w:t xml:space="preserve"> av </w:t>
      </w:r>
      <w:r w:rsidR="00CA0878">
        <w:rPr>
          <w:rFonts w:eastAsia="Times New Roman"/>
        </w:rPr>
        <w:t>de</w:t>
      </w:r>
      <w:r>
        <w:rPr>
          <w:rFonts w:eastAsia="Times New Roman"/>
        </w:rPr>
        <w:t xml:space="preserve"> två </w:t>
      </w:r>
      <w:r w:rsidRPr="000E48A5">
        <w:rPr>
          <w:rFonts w:eastAsia="Times New Roman"/>
        </w:rPr>
        <w:t xml:space="preserve">systematiska </w:t>
      </w:r>
      <w:r>
        <w:rPr>
          <w:rFonts w:eastAsia="Times New Roman"/>
        </w:rPr>
        <w:t>översikter</w:t>
      </w:r>
      <w:r w:rsidR="00CA0878">
        <w:rPr>
          <w:rFonts w:eastAsia="Times New Roman"/>
        </w:rPr>
        <w:t xml:space="preserve"> som publicerades under hösten 2017</w:t>
      </w:r>
      <w:r>
        <w:rPr>
          <w:rFonts w:eastAsia="Times New Roman"/>
        </w:rPr>
        <w:t>. Först diskuterar jag den tudelade översikten om digitala lärresurser, därefter översikten om klassrumsdialog, i båda fallen med fokus på metodologiska frågor. I textens avslutande avsnitt dras några generella slutsatser.</w:t>
      </w:r>
    </w:p>
    <w:p w14:paraId="23442F09" w14:textId="77777777" w:rsidR="00B906B0" w:rsidRDefault="00B906B0" w:rsidP="00B906B0">
      <w:pPr>
        <w:rPr>
          <w:rFonts w:eastAsia="Times New Roman"/>
        </w:rPr>
      </w:pPr>
    </w:p>
    <w:p w14:paraId="09CD3687" w14:textId="77777777" w:rsidR="00B906B0" w:rsidRPr="001A7938" w:rsidRDefault="00B906B0" w:rsidP="00B906B0">
      <w:pPr>
        <w:rPr>
          <w:rFonts w:eastAsia="Times New Roman"/>
        </w:rPr>
      </w:pPr>
    </w:p>
    <w:p w14:paraId="20B18CBF" w14:textId="77777777" w:rsidR="00234BDF" w:rsidRPr="00A14DD9" w:rsidRDefault="00FC0A09" w:rsidP="00234BDF">
      <w:pPr>
        <w:rPr>
          <w:rFonts w:eastAsia="Times New Roman"/>
          <w:sz w:val="40"/>
          <w:szCs w:val="40"/>
        </w:rPr>
      </w:pPr>
      <w:r w:rsidRPr="00A14DD9">
        <w:rPr>
          <w:rFonts w:eastAsia="Times New Roman"/>
          <w:sz w:val="40"/>
          <w:szCs w:val="40"/>
        </w:rPr>
        <w:t xml:space="preserve">I. </w:t>
      </w:r>
      <w:r w:rsidR="00AA46B7" w:rsidRPr="00A14DD9">
        <w:rPr>
          <w:rFonts w:eastAsia="Times New Roman"/>
          <w:sz w:val="40"/>
          <w:szCs w:val="40"/>
        </w:rPr>
        <w:t>Syntesers</w:t>
      </w:r>
      <w:r w:rsidR="00234BDF" w:rsidRPr="00A14DD9">
        <w:rPr>
          <w:rFonts w:eastAsia="Times New Roman"/>
          <w:sz w:val="40"/>
          <w:szCs w:val="40"/>
        </w:rPr>
        <w:t xml:space="preserve"> epistemologi</w:t>
      </w:r>
    </w:p>
    <w:p w14:paraId="56713B99" w14:textId="77777777" w:rsidR="00597280" w:rsidRDefault="00597280" w:rsidP="00234BDF">
      <w:pPr>
        <w:rPr>
          <w:rFonts w:eastAsia="Times New Roman"/>
        </w:rPr>
      </w:pPr>
    </w:p>
    <w:p w14:paraId="51084FF9" w14:textId="77777777" w:rsidR="00597280" w:rsidRPr="00A14DD9" w:rsidRDefault="00597280" w:rsidP="00234BDF">
      <w:pPr>
        <w:rPr>
          <w:rFonts w:eastAsia="Times New Roman"/>
          <w:i/>
          <w:iCs/>
          <w:szCs w:val="28"/>
        </w:rPr>
      </w:pPr>
      <w:r w:rsidRPr="00A14DD9">
        <w:rPr>
          <w:rFonts w:eastAsia="Times New Roman"/>
          <w:i/>
          <w:iCs/>
          <w:szCs w:val="28"/>
        </w:rPr>
        <w:t>Integration, tre typer av översikter</w:t>
      </w:r>
    </w:p>
    <w:p w14:paraId="46F0D2CE" w14:textId="77777777" w:rsidR="00234BDF" w:rsidRDefault="00234BDF" w:rsidP="00234BDF">
      <w:pPr>
        <w:rPr>
          <w:rFonts w:eastAsia="Times New Roman"/>
        </w:rPr>
      </w:pPr>
    </w:p>
    <w:p w14:paraId="1FD41064" w14:textId="77777777" w:rsidR="00234BDF" w:rsidRDefault="00234BDF" w:rsidP="00234BDF">
      <w:pPr>
        <w:rPr>
          <w:rFonts w:eastAsia="Times New Roman"/>
        </w:rPr>
      </w:pPr>
      <w:r>
        <w:rPr>
          <w:rFonts w:eastAsia="Times New Roman"/>
        </w:rPr>
        <w:t>Förordandet av formaliserade metoder för syntes har alltid haft en uttalat polemisk komponent. Metodernas upphovsmän har från första början beskrivit dem som överlägsna en äldre typ av översikter. Metaanalysens förespråkare etablerade tidigt “narrativ” som beteckning för den typ av översikt</w:t>
      </w:r>
      <w:r w:rsidRPr="00CF2241">
        <w:rPr>
          <w:rFonts w:eastAsia="Times New Roman"/>
        </w:rPr>
        <w:t xml:space="preserve"> </w:t>
      </w:r>
      <w:r>
        <w:rPr>
          <w:rFonts w:eastAsia="Times New Roman"/>
        </w:rPr>
        <w:t xml:space="preserve">som ansågs otillförlitlig och inadekvat. </w:t>
      </w:r>
      <w:r w:rsidR="00A14DD9">
        <w:rPr>
          <w:rFonts w:eastAsia="Times New Roman"/>
        </w:rPr>
        <w:t xml:space="preserve">Gene </w:t>
      </w:r>
      <w:r>
        <w:rPr>
          <w:rFonts w:eastAsia="Times New Roman"/>
        </w:rPr>
        <w:t xml:space="preserve">Glass benämnde dem även “diskursiva” och “informella”, och </w:t>
      </w:r>
      <w:r w:rsidR="00A14DD9">
        <w:rPr>
          <w:rFonts w:eastAsia="Times New Roman"/>
        </w:rPr>
        <w:t>ställde</w:t>
      </w:r>
      <w:r>
        <w:rPr>
          <w:rFonts w:eastAsia="Times New Roman"/>
        </w:rPr>
        <w:t xml:space="preserve"> deras “litterära” karaktär </w:t>
      </w:r>
      <w:r w:rsidR="00A14DD9">
        <w:rPr>
          <w:rFonts w:eastAsia="Times New Roman"/>
        </w:rPr>
        <w:t xml:space="preserve">i kontrast mot </w:t>
      </w:r>
      <w:r>
        <w:rPr>
          <w:rFonts w:eastAsia="Times New Roman"/>
        </w:rPr>
        <w:t xml:space="preserve">den “rigor” som kvantitativa metoder skulle garantera. Traditionella sätt att sammanfatta primärlitteraturen må ha fyllt sin funktion fram till 1940- och 50-talen, men på 70-talet förmådde “pedestrian reviewing” baserad på “verbal synopses” (Glass 1976, 4) inte längre fylla den kumulativa funktion som </w:t>
      </w:r>
      <w:r w:rsidRPr="004B56E7">
        <w:rPr>
          <w:rFonts w:eastAsia="Times New Roman"/>
        </w:rPr>
        <w:t>översikter</w:t>
      </w:r>
      <w:r>
        <w:rPr>
          <w:rFonts w:eastAsia="Times New Roman"/>
        </w:rPr>
        <w:t>,</w:t>
      </w:r>
      <w:r w:rsidRPr="004B56E7">
        <w:rPr>
          <w:rFonts w:eastAsia="Times New Roman"/>
        </w:rPr>
        <w:t xml:space="preserve"> </w:t>
      </w:r>
      <w:r>
        <w:rPr>
          <w:rFonts w:eastAsia="Times New Roman"/>
        </w:rPr>
        <w:t xml:space="preserve">förutsatt att de utförs med </w:t>
      </w:r>
      <w:r w:rsidR="00956F62">
        <w:rPr>
          <w:rFonts w:eastAsia="Times New Roman"/>
        </w:rPr>
        <w:t>adekvata</w:t>
      </w:r>
      <w:r>
        <w:rPr>
          <w:rFonts w:eastAsia="Times New Roman"/>
        </w:rPr>
        <w:t xml:space="preserve"> metoder, i hög grad kan bidra till:</w:t>
      </w:r>
    </w:p>
    <w:p w14:paraId="258580DB" w14:textId="77777777" w:rsidR="00234BDF" w:rsidRDefault="00234BDF" w:rsidP="00234BDF">
      <w:pPr>
        <w:rPr>
          <w:rFonts w:eastAsia="Times New Roman"/>
        </w:rPr>
      </w:pPr>
    </w:p>
    <w:p w14:paraId="0DAD11B3" w14:textId="77777777" w:rsidR="00234BDF" w:rsidRDefault="00234BDF" w:rsidP="00234BDF">
      <w:pPr>
        <w:pStyle w:val="Cit"/>
      </w:pPr>
      <w:r>
        <w:lastRenderedPageBreak/>
        <w:t xml:space="preserve">The accumulated findings </w:t>
      </w:r>
      <w:r w:rsidRPr="000722A2">
        <w:t>of dozens or even hundreds of studies should be regarded as complex data</w:t>
      </w:r>
      <w:r>
        <w:t xml:space="preserve"> </w:t>
      </w:r>
      <w:r w:rsidRPr="000722A2">
        <w:t>points, no more comprehensible without the full use of statistical analysis</w:t>
      </w:r>
      <w:r>
        <w:t xml:space="preserve"> </w:t>
      </w:r>
      <w:r w:rsidRPr="000722A2">
        <w:t>than hundreds of data points in a single study could be so casually understood.</w:t>
      </w:r>
      <w:r>
        <w:t xml:space="preserve"> </w:t>
      </w:r>
      <w:r w:rsidRPr="000722A2">
        <w:t>Contemporary research reviewing ought to be undertaken in a style more</w:t>
      </w:r>
      <w:r>
        <w:t xml:space="preserve"> </w:t>
      </w:r>
      <w:r w:rsidRPr="000722A2">
        <w:t>technical and statistical than narrative and rhetorical.</w:t>
      </w:r>
      <w:r w:rsidR="00C139C7">
        <w:t xml:space="preserve"> (Glass 1977, 352)</w:t>
      </w:r>
    </w:p>
    <w:p w14:paraId="438CC616" w14:textId="77777777" w:rsidR="00234BDF" w:rsidRDefault="00234BDF" w:rsidP="00234BDF">
      <w:pPr>
        <w:rPr>
          <w:rFonts w:eastAsia="Times New Roman"/>
        </w:rPr>
      </w:pPr>
    </w:p>
    <w:p w14:paraId="0A980D77" w14:textId="77777777" w:rsidR="00F20C8E" w:rsidRDefault="00986A0E" w:rsidP="00234BDF">
      <w:r>
        <w:t xml:space="preserve">Under sent 1960- och tidigt 70-tal, före lanserandet av metaanalys, hade flera amerikanska samhällsvetare publicerat </w:t>
      </w:r>
      <w:r w:rsidRPr="00F827D0">
        <w:t xml:space="preserve">översikter </w:t>
      </w:r>
      <w:r>
        <w:t xml:space="preserve">omfattande hundratals studier inom olika specialområden. </w:t>
      </w:r>
      <w:r w:rsidR="00A805B7">
        <w:t xml:space="preserve">Efter att ha </w:t>
      </w:r>
      <w:r w:rsidR="00F20C8E">
        <w:t xml:space="preserve">sammanfattat forskningen inom sitt eget fält i två stora volymer (Feldman &amp; Newcomb 1969) reflekterade </w:t>
      </w:r>
      <w:r>
        <w:t>socialpsykolo</w:t>
      </w:r>
      <w:r w:rsidR="00F20C8E">
        <w:t xml:space="preserve">gen Kenneth Feldman över metodologiska frågor som </w:t>
      </w:r>
      <w:r w:rsidR="00F20C8E" w:rsidRPr="00F827D0">
        <w:t xml:space="preserve">översikter </w:t>
      </w:r>
      <w:r w:rsidR="00F20C8E">
        <w:t>ger upphov till. Alltför många översikter, ansåg han, motsvarar inte de krav som bör ställas på genren:</w:t>
      </w:r>
    </w:p>
    <w:p w14:paraId="06494F0C" w14:textId="77777777" w:rsidR="00F20C8E" w:rsidRDefault="00F20C8E" w:rsidP="00234BDF"/>
    <w:p w14:paraId="456A3768" w14:textId="77777777" w:rsidR="00F20C8E" w:rsidRDefault="00F20C8E" w:rsidP="00F20C8E">
      <w:pPr>
        <w:pStyle w:val="Cit"/>
      </w:pPr>
      <w:r>
        <w:t>Sometimes so-called reviews of the literature do little more than string together short summaries of selected articles. This procedure does have its worth, but it only minimally qualifies as a “review,” and certainly in no way can be regarded as an “integration” of the literature. (Feldman 1971, 89)</w:t>
      </w:r>
    </w:p>
    <w:p w14:paraId="16DC6587" w14:textId="77777777" w:rsidR="00CD51C8" w:rsidRDefault="00CD51C8" w:rsidP="00234BDF"/>
    <w:p w14:paraId="202FB03B" w14:textId="77777777" w:rsidR="00CD51C8" w:rsidRDefault="00CD51C8" w:rsidP="00CD51C8">
      <w:r>
        <w:t xml:space="preserve">De tillvägagångssätt Feldman och andra samhällsvetare </w:t>
      </w:r>
      <w:r w:rsidR="00C367AD">
        <w:t xml:space="preserve">under denna period utformade för att hantera stora volymer publicerat </w:t>
      </w:r>
      <w:r w:rsidR="00C367AD" w:rsidRPr="00F827D0">
        <w:t xml:space="preserve">material </w:t>
      </w:r>
      <w:r w:rsidR="002A4317">
        <w:t>hänförs</w:t>
      </w:r>
      <w:r w:rsidR="00C367AD">
        <w:t xml:space="preserve"> idag </w:t>
      </w:r>
      <w:r w:rsidR="002A4317">
        <w:t xml:space="preserve">till </w:t>
      </w:r>
      <w:r w:rsidR="00C367AD">
        <w:t xml:space="preserve">metaanalysens förhistoria, men </w:t>
      </w:r>
      <w:r>
        <w:t>begreppet integration har förblivit centralt</w:t>
      </w:r>
      <w:r w:rsidR="002E203F">
        <w:t xml:space="preserve"> i research synthesis</w:t>
      </w:r>
      <w:r>
        <w:t xml:space="preserve">. </w:t>
      </w:r>
      <w:r w:rsidR="002E203F">
        <w:t xml:space="preserve">Det brukar användas för att beskriva ambitionen att </w:t>
      </w:r>
      <w:r w:rsidR="00D7349E">
        <w:t xml:space="preserve">länka samman </w:t>
      </w:r>
      <w:r w:rsidR="002A4317">
        <w:t xml:space="preserve">resultat från enskilda studier så att de bildar en helhet representerande </w:t>
      </w:r>
      <w:r w:rsidR="00602E8E">
        <w:t xml:space="preserve">huvuddrag av vad som uppnåtts i </w:t>
      </w:r>
      <w:r w:rsidR="00F51FA7">
        <w:t xml:space="preserve">den </w:t>
      </w:r>
      <w:r w:rsidR="00602E8E">
        <w:t>forskning</w:t>
      </w:r>
      <w:r w:rsidR="00F51FA7">
        <w:t xml:space="preserve"> som täckts.</w:t>
      </w:r>
    </w:p>
    <w:p w14:paraId="60888626" w14:textId="77777777" w:rsidR="0073585E" w:rsidRDefault="0073585E" w:rsidP="00234BDF"/>
    <w:p w14:paraId="708F3AEA" w14:textId="77777777" w:rsidR="00F51FA7" w:rsidRDefault="00F51FA7" w:rsidP="00234BDF">
      <w:r>
        <w:t xml:space="preserve">Att metaanalys utvecklades </w:t>
      </w:r>
      <w:r w:rsidR="00407107">
        <w:t>direkt ur statistiska metoder för kvantitativ primärforskning framgick tydligt av citaten ur texter av Glass</w:t>
      </w:r>
      <w:r w:rsidR="009E1869">
        <w:t xml:space="preserve"> nyss</w:t>
      </w:r>
      <w:r w:rsidR="00407107">
        <w:t xml:space="preserve">. </w:t>
      </w:r>
      <w:r w:rsidR="007D4382">
        <w:t xml:space="preserve">Den utveckling av metoder för kvalitativ syntes som följt i spåren av metaanalys och systematiska </w:t>
      </w:r>
      <w:r w:rsidR="007D4382" w:rsidRPr="00F827D0">
        <w:t xml:space="preserve">översikter </w:t>
      </w:r>
      <w:r w:rsidR="007D4382">
        <w:t>har givit upphov till diskussioner om relationen mellan kvanti</w:t>
      </w:r>
      <w:r w:rsidR="00655707">
        <w:t>t</w:t>
      </w:r>
      <w:r w:rsidR="007D4382">
        <w:t>ativt och kvalitativt grundade principer</w:t>
      </w:r>
      <w:r w:rsidR="00EC0A9F">
        <w:t>,</w:t>
      </w:r>
      <w:r w:rsidR="007D4382">
        <w:t xml:space="preserve"> </w:t>
      </w:r>
      <w:r w:rsidR="009E1869">
        <w:t>vilka ofta präglats</w:t>
      </w:r>
      <w:r w:rsidR="007D4382">
        <w:t xml:space="preserve"> av </w:t>
      </w:r>
      <w:r w:rsidR="00E01591">
        <w:t>en</w:t>
      </w:r>
      <w:r w:rsidR="00EC0A9F">
        <w:t xml:space="preserve"> </w:t>
      </w:r>
      <w:r w:rsidR="00E01591">
        <w:t>ömsesidig</w:t>
      </w:r>
      <w:r w:rsidR="00EC0A9F">
        <w:t xml:space="preserve"> skepsis </w:t>
      </w:r>
      <w:r w:rsidR="00E01591">
        <w:t xml:space="preserve">besläktad med den </w:t>
      </w:r>
      <w:r w:rsidR="009E1869">
        <w:t xml:space="preserve">som </w:t>
      </w:r>
      <w:r w:rsidR="00E01591">
        <w:t xml:space="preserve">varit </w:t>
      </w:r>
      <w:r w:rsidR="00EC0A9F">
        <w:t>kän</w:t>
      </w:r>
      <w:r w:rsidR="00E01591">
        <w:t>netecknande</w:t>
      </w:r>
      <w:r w:rsidR="00EC0A9F">
        <w:t xml:space="preserve"> </w:t>
      </w:r>
      <w:r w:rsidR="00E01591">
        <w:t xml:space="preserve">för </w:t>
      </w:r>
      <w:r w:rsidR="009E1869">
        <w:t xml:space="preserve">de </w:t>
      </w:r>
      <w:r w:rsidR="00EC0A9F">
        <w:t>stora paradigmatiska strider</w:t>
      </w:r>
      <w:r w:rsidR="009E1869">
        <w:t>na</w:t>
      </w:r>
      <w:r w:rsidR="00EC0A9F">
        <w:t xml:space="preserve"> mellan den kvanti</w:t>
      </w:r>
      <w:r w:rsidR="00655707">
        <w:t>t</w:t>
      </w:r>
      <w:r w:rsidR="00EC0A9F">
        <w:t xml:space="preserve">ativa och den kvalitativa traditionen. </w:t>
      </w:r>
      <w:r w:rsidR="00533FBD">
        <w:t xml:space="preserve">Samtidigt är det </w:t>
      </w:r>
      <w:r w:rsidR="009E1869">
        <w:t xml:space="preserve">dock </w:t>
      </w:r>
      <w:r w:rsidR="00533FBD">
        <w:t>åtskilligt som förenar kva</w:t>
      </w:r>
      <w:r w:rsidR="00D062D0">
        <w:t>litativ syntes med kvantitativ.</w:t>
      </w:r>
    </w:p>
    <w:p w14:paraId="41D41E6A" w14:textId="77777777" w:rsidR="00D062D0" w:rsidRDefault="00D062D0" w:rsidP="00234BDF"/>
    <w:p w14:paraId="019FA8A5" w14:textId="77777777" w:rsidR="008755BC" w:rsidRPr="00056F2C" w:rsidRDefault="00D062D0" w:rsidP="00234BDF">
      <w:pPr>
        <w:rPr>
          <w:rFonts w:eastAsia="Times New Roman"/>
        </w:rPr>
      </w:pPr>
      <w:r>
        <w:t xml:space="preserve">Pionjärverket inom </w:t>
      </w:r>
      <w:r>
        <w:rPr>
          <w:rFonts w:eastAsia="Times New Roman"/>
        </w:rPr>
        <w:t xml:space="preserve">kvalitativ syntes är George Noblit och Dwight Hares bok Meta-Ethnography från slutet av 1980-talet. </w:t>
      </w:r>
      <w:r w:rsidR="00D465D9">
        <w:rPr>
          <w:rFonts w:eastAsia="Times New Roman"/>
        </w:rPr>
        <w:t xml:space="preserve">En grundpremiss för den metod </w:t>
      </w:r>
      <w:r w:rsidR="005D03DE">
        <w:rPr>
          <w:rFonts w:eastAsia="Times New Roman"/>
        </w:rPr>
        <w:t xml:space="preserve">Noblit och Hare </w:t>
      </w:r>
      <w:r w:rsidR="00D465D9">
        <w:rPr>
          <w:rFonts w:eastAsia="Times New Roman"/>
        </w:rPr>
        <w:t xml:space="preserve">presenterade är </w:t>
      </w:r>
      <w:r w:rsidR="00103CF7">
        <w:rPr>
          <w:rFonts w:eastAsia="Times New Roman"/>
        </w:rPr>
        <w:t xml:space="preserve">antagandet </w:t>
      </w:r>
      <w:r w:rsidR="00D465D9">
        <w:rPr>
          <w:rFonts w:eastAsia="Times New Roman"/>
        </w:rPr>
        <w:t xml:space="preserve">att </w:t>
      </w:r>
      <w:r w:rsidR="00D465D9" w:rsidRPr="00D465D9">
        <w:rPr>
          <w:rFonts w:eastAsia="Times New Roman"/>
        </w:rPr>
        <w:t xml:space="preserve">kunskap </w:t>
      </w:r>
      <w:r w:rsidR="00D465D9">
        <w:rPr>
          <w:rFonts w:eastAsia="Times New Roman"/>
        </w:rPr>
        <w:t xml:space="preserve">inom den </w:t>
      </w:r>
      <w:r w:rsidR="00D465D9">
        <w:rPr>
          <w:rFonts w:eastAsia="Times New Roman"/>
        </w:rPr>
        <w:lastRenderedPageBreak/>
        <w:t xml:space="preserve">kvalitativa </w:t>
      </w:r>
      <w:r w:rsidR="00ED1659">
        <w:rPr>
          <w:rFonts w:eastAsia="Times New Roman"/>
        </w:rPr>
        <w:t xml:space="preserve">eller tolkande </w:t>
      </w:r>
      <w:r w:rsidR="00D465D9">
        <w:rPr>
          <w:rFonts w:eastAsia="Times New Roman"/>
        </w:rPr>
        <w:t xml:space="preserve">traditionen har en annan </w:t>
      </w:r>
      <w:r w:rsidR="00ED1659">
        <w:rPr>
          <w:rFonts w:eastAsia="Times New Roman"/>
        </w:rPr>
        <w:t xml:space="preserve">karaktär än i den kvantitativa. </w:t>
      </w:r>
      <w:r w:rsidR="00D465D9">
        <w:rPr>
          <w:rFonts w:eastAsia="Times New Roman"/>
        </w:rPr>
        <w:t>Den erfarenhet ut vilken ambitionen att utarbeta en ny metod föddes var ett försök att lägga samman resultaten av en serie etnografiska studier av amerikanska skolor</w:t>
      </w:r>
      <w:r w:rsidR="00103CF7">
        <w:rPr>
          <w:rFonts w:eastAsia="Times New Roman"/>
        </w:rPr>
        <w:t>,</w:t>
      </w:r>
      <w:r w:rsidR="00D465D9">
        <w:rPr>
          <w:rFonts w:eastAsia="Times New Roman"/>
        </w:rPr>
        <w:t xml:space="preserve"> </w:t>
      </w:r>
      <w:r w:rsidR="00103CF7">
        <w:rPr>
          <w:rFonts w:eastAsia="Times New Roman"/>
        </w:rPr>
        <w:t xml:space="preserve">vilket enligt </w:t>
      </w:r>
      <w:r w:rsidR="003E7680">
        <w:rPr>
          <w:rFonts w:eastAsia="Times New Roman"/>
        </w:rPr>
        <w:t xml:space="preserve">Noblit och Hare </w:t>
      </w:r>
      <w:r w:rsidR="00D465D9">
        <w:rPr>
          <w:rFonts w:eastAsia="Times New Roman"/>
        </w:rPr>
        <w:t xml:space="preserve">byggde på den </w:t>
      </w:r>
      <w:r w:rsidR="00ED1659">
        <w:rPr>
          <w:rFonts w:eastAsia="Times New Roman"/>
        </w:rPr>
        <w:t xml:space="preserve">“positivistiska” </w:t>
      </w:r>
      <w:r w:rsidR="00D465D9">
        <w:rPr>
          <w:rFonts w:eastAsia="Times New Roman"/>
        </w:rPr>
        <w:t xml:space="preserve">logik som </w:t>
      </w:r>
      <w:r w:rsidR="00D465D9" w:rsidRPr="00D465D9">
        <w:rPr>
          <w:rFonts w:eastAsia="Times New Roman"/>
        </w:rPr>
        <w:t xml:space="preserve">metaanalys </w:t>
      </w:r>
      <w:r w:rsidR="00D465D9">
        <w:rPr>
          <w:rFonts w:eastAsia="Times New Roman"/>
        </w:rPr>
        <w:t xml:space="preserve">representerar, </w:t>
      </w:r>
      <w:r w:rsidR="003E7680">
        <w:rPr>
          <w:rFonts w:eastAsia="Times New Roman"/>
        </w:rPr>
        <w:t>med påföljden</w:t>
      </w:r>
      <w:r w:rsidR="00D465D9">
        <w:rPr>
          <w:rFonts w:eastAsia="Times New Roman"/>
        </w:rPr>
        <w:t xml:space="preserve"> att viktiga resultat från de enskilda studierna förvanskades i syntesen. </w:t>
      </w:r>
      <w:r w:rsidR="00384942">
        <w:rPr>
          <w:rFonts w:eastAsia="Times New Roman"/>
        </w:rPr>
        <w:t>Detta hindrar dock inte att meta-etnografi</w:t>
      </w:r>
      <w:r w:rsidR="00231269">
        <w:rPr>
          <w:rFonts w:eastAsia="Times New Roman"/>
        </w:rPr>
        <w:t>,</w:t>
      </w:r>
      <w:r w:rsidR="00384942">
        <w:rPr>
          <w:rFonts w:eastAsia="Times New Roman"/>
        </w:rPr>
        <w:t xml:space="preserve"> </w:t>
      </w:r>
      <w:r w:rsidR="00231269">
        <w:rPr>
          <w:rFonts w:eastAsia="Times New Roman"/>
        </w:rPr>
        <w:t xml:space="preserve">som namnets prefix antyder, </w:t>
      </w:r>
      <w:r w:rsidR="00056F2C">
        <w:rPr>
          <w:rFonts w:eastAsia="Times New Roman"/>
        </w:rPr>
        <w:t>har</w:t>
      </w:r>
      <w:r w:rsidR="00ED1659">
        <w:rPr>
          <w:rFonts w:eastAsia="Times New Roman"/>
        </w:rPr>
        <w:t xml:space="preserve"> väsentliga egenskaper </w:t>
      </w:r>
      <w:r w:rsidR="00056F2C">
        <w:rPr>
          <w:rFonts w:eastAsia="Times New Roman"/>
        </w:rPr>
        <w:t xml:space="preserve">gemensamma </w:t>
      </w:r>
      <w:r w:rsidR="00231269">
        <w:rPr>
          <w:rFonts w:eastAsia="Times New Roman"/>
        </w:rPr>
        <w:t xml:space="preserve">med </w:t>
      </w:r>
      <w:r w:rsidR="00ED1659">
        <w:rPr>
          <w:rFonts w:eastAsia="Times New Roman"/>
        </w:rPr>
        <w:t xml:space="preserve">metaanalys. </w:t>
      </w:r>
      <w:r w:rsidR="00056F2C">
        <w:rPr>
          <w:rFonts w:eastAsia="Times New Roman"/>
        </w:rPr>
        <w:t>Till dessa egenskaper hör hållningen till den traditionella typen av översikt:</w:t>
      </w:r>
    </w:p>
    <w:p w14:paraId="65157723" w14:textId="77777777" w:rsidR="008755BC" w:rsidRDefault="008755BC" w:rsidP="00234BDF"/>
    <w:p w14:paraId="03887893" w14:textId="77777777" w:rsidR="008755BC" w:rsidRDefault="008755BC" w:rsidP="002D10E2">
      <w:pPr>
        <w:pStyle w:val="Cit"/>
      </w:pPr>
      <w:r w:rsidRPr="00CC0E15">
        <w:rPr>
          <w:lang w:val="en-US"/>
        </w:rPr>
        <w:t xml:space="preserve">Positivists and interpretivists alike find literature reviews as usually practiced to be of little value. The </w:t>
      </w:r>
      <w:r w:rsidR="002D10E2" w:rsidRPr="00CC0E15">
        <w:rPr>
          <w:lang w:val="en-US"/>
        </w:rPr>
        <w:t xml:space="preserve">study-by-study presentation of questions, methods, limitations, findings, and conclusions </w:t>
      </w:r>
      <w:r w:rsidRPr="00CC0E15">
        <w:rPr>
          <w:lang w:val="en-US"/>
        </w:rPr>
        <w:t xml:space="preserve">lacks some way to make sense of what the </w:t>
      </w:r>
      <w:r w:rsidRPr="00CC0E15">
        <w:rPr>
          <w:i/>
          <w:lang w:val="en-US"/>
        </w:rPr>
        <w:t>collection</w:t>
      </w:r>
      <w:r w:rsidRPr="00CC0E15">
        <w:rPr>
          <w:lang w:val="en-US"/>
        </w:rPr>
        <w:t xml:space="preserve"> of studies is saying. As a result, literature reviews in practice are more rituals than substantive accomplishments. </w:t>
      </w:r>
      <w:r w:rsidRPr="008755BC">
        <w:t>(</w:t>
      </w:r>
      <w:r w:rsidR="00056F2C">
        <w:t xml:space="preserve">Noblit &amp; Hare </w:t>
      </w:r>
      <w:r w:rsidRPr="008755BC">
        <w:t xml:space="preserve">1988, 14-15; </w:t>
      </w:r>
      <w:r w:rsidR="002D10E2">
        <w:t>kursiv i originalet</w:t>
      </w:r>
      <w:r w:rsidRPr="008755BC">
        <w:t>)</w:t>
      </w:r>
    </w:p>
    <w:p w14:paraId="25864BD6" w14:textId="77777777" w:rsidR="008755BC" w:rsidRDefault="008755BC" w:rsidP="00234BDF"/>
    <w:p w14:paraId="2C181F91" w14:textId="77777777" w:rsidR="00F46786" w:rsidRDefault="00931A4B" w:rsidP="00234BDF">
      <w:pPr>
        <w:rPr>
          <w:rFonts w:eastAsia="Times New Roman"/>
        </w:rPr>
      </w:pPr>
      <w:r>
        <w:t xml:space="preserve">Trettio år efter publiceringen av Noblit och Hares bok förenas företrädare för </w:t>
      </w:r>
      <w:r>
        <w:rPr>
          <w:rFonts w:eastAsia="Times New Roman"/>
        </w:rPr>
        <w:t xml:space="preserve">kvantitativ </w:t>
      </w:r>
      <w:r>
        <w:t xml:space="preserve">och </w:t>
      </w:r>
      <w:r>
        <w:rPr>
          <w:rFonts w:eastAsia="Times New Roman"/>
        </w:rPr>
        <w:t xml:space="preserve">kvalitativ </w:t>
      </w:r>
      <w:r>
        <w:t xml:space="preserve">syntes fortfarande i sin kritik av traditionella översikter. </w:t>
      </w:r>
      <w:r w:rsidR="00F46786">
        <w:t xml:space="preserve">I en diskussion av metoder för syntes av </w:t>
      </w:r>
      <w:r w:rsidR="00F46786">
        <w:rPr>
          <w:rFonts w:eastAsia="Times New Roman"/>
        </w:rPr>
        <w:t xml:space="preserve">kvalitativa studier </w:t>
      </w:r>
      <w:r w:rsidR="008C748D">
        <w:rPr>
          <w:rFonts w:eastAsia="Times New Roman"/>
        </w:rPr>
        <w:t>upprepar</w:t>
      </w:r>
      <w:r w:rsidR="00F46786">
        <w:rPr>
          <w:rFonts w:eastAsia="Times New Roman"/>
        </w:rPr>
        <w:t xml:space="preserve"> t ex </w:t>
      </w:r>
      <w:r w:rsidR="00515649">
        <w:rPr>
          <w:rFonts w:eastAsia="Times New Roman"/>
        </w:rPr>
        <w:t xml:space="preserve">Catherine Pope och Nicholas Mays </w:t>
      </w:r>
      <w:r w:rsidR="008C748D">
        <w:rPr>
          <w:rFonts w:eastAsia="Times New Roman"/>
        </w:rPr>
        <w:t xml:space="preserve">samma uppfattning som uttrycks i </w:t>
      </w:r>
      <w:r w:rsidR="007159D2">
        <w:rPr>
          <w:rFonts w:eastAsia="Times New Roman"/>
        </w:rPr>
        <w:t>de</w:t>
      </w:r>
      <w:r w:rsidR="008C748D">
        <w:rPr>
          <w:rFonts w:eastAsia="Times New Roman"/>
        </w:rPr>
        <w:t xml:space="preserve"> ovan citerade passager</w:t>
      </w:r>
      <w:r w:rsidR="007159D2">
        <w:rPr>
          <w:rFonts w:eastAsia="Times New Roman"/>
        </w:rPr>
        <w:t>na</w:t>
      </w:r>
      <w:r w:rsidR="008C748D">
        <w:rPr>
          <w:rFonts w:eastAsia="Times New Roman"/>
        </w:rPr>
        <w:t xml:space="preserve"> </w:t>
      </w:r>
      <w:r w:rsidR="007159D2">
        <w:rPr>
          <w:rFonts w:eastAsia="Times New Roman"/>
        </w:rPr>
        <w:t xml:space="preserve">ur </w:t>
      </w:r>
      <w:r w:rsidR="008C748D">
        <w:rPr>
          <w:rFonts w:eastAsia="Times New Roman"/>
        </w:rPr>
        <w:t xml:space="preserve">Feldman 1971 respektive Noblit &amp; Hare 1988. Traditionella </w:t>
      </w:r>
      <w:r w:rsidR="00515649" w:rsidRPr="00515649">
        <w:rPr>
          <w:rFonts w:eastAsia="Times New Roman"/>
        </w:rPr>
        <w:t>översikter</w:t>
      </w:r>
      <w:r w:rsidR="008C748D">
        <w:rPr>
          <w:rFonts w:eastAsia="Times New Roman"/>
        </w:rPr>
        <w:t>,</w:t>
      </w:r>
      <w:r w:rsidR="00515649" w:rsidRPr="00515649">
        <w:rPr>
          <w:rFonts w:eastAsia="Times New Roman"/>
        </w:rPr>
        <w:t xml:space="preserve"> </w:t>
      </w:r>
      <w:r w:rsidR="008C748D">
        <w:rPr>
          <w:rFonts w:eastAsia="Times New Roman"/>
        </w:rPr>
        <w:t xml:space="preserve">hävdar Pope och Mays (2006, 145) </w:t>
      </w:r>
      <w:r w:rsidR="00515649">
        <w:rPr>
          <w:rFonts w:eastAsia="Times New Roman"/>
        </w:rPr>
        <w:t xml:space="preserve">“summarize one study after another with little attempt at integration”. </w:t>
      </w:r>
      <w:r w:rsidR="00451C6A">
        <w:rPr>
          <w:rFonts w:eastAsia="Times New Roman"/>
        </w:rPr>
        <w:t>Begreppet integration, som här återkommer, används ofta i programmatiska formuleringar om</w:t>
      </w:r>
      <w:r w:rsidR="00114604">
        <w:rPr>
          <w:rFonts w:eastAsia="Times New Roman"/>
        </w:rPr>
        <w:t xml:space="preserve"> </w:t>
      </w:r>
      <w:r w:rsidR="0020670C">
        <w:rPr>
          <w:rFonts w:eastAsia="Times New Roman"/>
        </w:rPr>
        <w:t xml:space="preserve">vad som uppnås i </w:t>
      </w:r>
      <w:r w:rsidR="004A69FB">
        <w:rPr>
          <w:rFonts w:eastAsia="Times New Roman"/>
        </w:rPr>
        <w:t>väl genomförd</w:t>
      </w:r>
      <w:r w:rsidR="0020670C">
        <w:rPr>
          <w:rFonts w:eastAsia="Times New Roman"/>
        </w:rPr>
        <w:t>a</w:t>
      </w:r>
      <w:r w:rsidR="004A69FB">
        <w:rPr>
          <w:rFonts w:eastAsia="Times New Roman"/>
        </w:rPr>
        <w:t xml:space="preserve"> syntes</w:t>
      </w:r>
      <w:r w:rsidR="0020670C">
        <w:rPr>
          <w:rFonts w:eastAsia="Times New Roman"/>
        </w:rPr>
        <w:t>er</w:t>
      </w:r>
      <w:r w:rsidR="00451C6A">
        <w:rPr>
          <w:rFonts w:eastAsia="Times New Roman"/>
        </w:rPr>
        <w:t xml:space="preserve">. </w:t>
      </w:r>
      <w:r w:rsidR="00440D49">
        <w:rPr>
          <w:rFonts w:eastAsia="Times New Roman"/>
        </w:rPr>
        <w:t xml:space="preserve">Så här definierar </w:t>
      </w:r>
      <w:r w:rsidR="00714258">
        <w:rPr>
          <w:rFonts w:eastAsia="Times New Roman"/>
        </w:rPr>
        <w:t xml:space="preserve">Harrison Cooper och Larry Hedges, två förgrundsfigurer </w:t>
      </w:r>
      <w:r w:rsidR="000D6384">
        <w:rPr>
          <w:rFonts w:eastAsia="Times New Roman"/>
        </w:rPr>
        <w:t>i utvecklingen av metoder för</w:t>
      </w:r>
      <w:r w:rsidR="00714258">
        <w:rPr>
          <w:rFonts w:eastAsia="Times New Roman"/>
        </w:rPr>
        <w:t xml:space="preserve"> </w:t>
      </w:r>
      <w:r w:rsidR="00714258" w:rsidRPr="00714258">
        <w:rPr>
          <w:rFonts w:eastAsia="Times New Roman"/>
        </w:rPr>
        <w:t xml:space="preserve">kvantitativ </w:t>
      </w:r>
      <w:r w:rsidR="00714258">
        <w:rPr>
          <w:rFonts w:eastAsia="Times New Roman"/>
        </w:rPr>
        <w:t>syntes</w:t>
      </w:r>
      <w:r w:rsidR="000D6384">
        <w:rPr>
          <w:rFonts w:eastAsia="Times New Roman"/>
        </w:rPr>
        <w:t>, fältets syfte:</w:t>
      </w:r>
    </w:p>
    <w:p w14:paraId="347FDAD0" w14:textId="77777777" w:rsidR="000D6384" w:rsidRDefault="000D6384" w:rsidP="00234BDF">
      <w:pPr>
        <w:rPr>
          <w:rFonts w:eastAsia="Times New Roman"/>
        </w:rPr>
      </w:pPr>
    </w:p>
    <w:p w14:paraId="27FA2EF0" w14:textId="77777777" w:rsidR="000D6384" w:rsidRPr="000D6384" w:rsidRDefault="000D6384" w:rsidP="000D6384">
      <w:pPr>
        <w:pStyle w:val="Cit"/>
      </w:pPr>
      <w:r w:rsidRPr="00CC0E15">
        <w:rPr>
          <w:lang w:val="en-US"/>
        </w:rPr>
        <w:t xml:space="preserve">The primary focus and goal of research syntheses is to integrate empirical research for the purpose of creating generalizations. </w:t>
      </w:r>
      <w:r w:rsidRPr="000D6384">
        <w:t>(Cooper and Hedges 2009, 6)</w:t>
      </w:r>
    </w:p>
    <w:p w14:paraId="43E76AB4" w14:textId="77777777" w:rsidR="000D6384" w:rsidRPr="000D6384" w:rsidRDefault="000D6384" w:rsidP="000D6384">
      <w:pPr>
        <w:rPr>
          <w:rFonts w:eastAsia="Times New Roman"/>
        </w:rPr>
      </w:pPr>
    </w:p>
    <w:p w14:paraId="1FF55A1A" w14:textId="77777777" w:rsidR="000D6384" w:rsidRPr="008C748D" w:rsidRDefault="0001085E" w:rsidP="00853D60">
      <w:pPr>
        <w:rPr>
          <w:rFonts w:eastAsia="Times New Roman"/>
        </w:rPr>
      </w:pPr>
      <w:r>
        <w:rPr>
          <w:rFonts w:eastAsia="Times New Roman"/>
        </w:rPr>
        <w:t xml:space="preserve">Att integrera resultat </w:t>
      </w:r>
      <w:r w:rsidR="003F73B4">
        <w:rPr>
          <w:rFonts w:eastAsia="Times New Roman"/>
        </w:rPr>
        <w:t xml:space="preserve">från </w:t>
      </w:r>
      <w:r>
        <w:rPr>
          <w:rFonts w:eastAsia="Times New Roman"/>
        </w:rPr>
        <w:t xml:space="preserve">serier av studier </w:t>
      </w:r>
      <w:r w:rsidR="003F73B4">
        <w:rPr>
          <w:rFonts w:eastAsia="Times New Roman"/>
        </w:rPr>
        <w:t xml:space="preserve">med likartade frågeställningar </w:t>
      </w:r>
      <w:r>
        <w:rPr>
          <w:rFonts w:eastAsia="Times New Roman"/>
        </w:rPr>
        <w:t xml:space="preserve">innebär alltså att dra slutsatser om </w:t>
      </w:r>
      <w:r w:rsidR="003F73B4">
        <w:rPr>
          <w:rFonts w:eastAsia="Times New Roman"/>
        </w:rPr>
        <w:t>samband</w:t>
      </w:r>
      <w:r>
        <w:rPr>
          <w:rFonts w:eastAsia="Times New Roman"/>
        </w:rPr>
        <w:t xml:space="preserve"> </w:t>
      </w:r>
      <w:r w:rsidR="002B3DBC">
        <w:rPr>
          <w:rFonts w:eastAsia="Times New Roman"/>
        </w:rPr>
        <w:t xml:space="preserve">och mönster </w:t>
      </w:r>
      <w:r>
        <w:rPr>
          <w:rFonts w:eastAsia="Times New Roman"/>
        </w:rPr>
        <w:t xml:space="preserve">bortom enskilda experiment och observationer. </w:t>
      </w:r>
      <w:r w:rsidR="00853D60">
        <w:rPr>
          <w:rFonts w:eastAsia="Times New Roman"/>
        </w:rPr>
        <w:t xml:space="preserve">Att mekanismer </w:t>
      </w:r>
      <w:r>
        <w:rPr>
          <w:rFonts w:eastAsia="Times New Roman"/>
        </w:rPr>
        <w:t xml:space="preserve">för generalisering </w:t>
      </w:r>
      <w:r w:rsidR="00853D60">
        <w:rPr>
          <w:rFonts w:eastAsia="Times New Roman"/>
        </w:rPr>
        <w:t xml:space="preserve">tillämpas </w:t>
      </w:r>
      <w:r>
        <w:rPr>
          <w:rFonts w:eastAsia="Times New Roman"/>
        </w:rPr>
        <w:t>är</w:t>
      </w:r>
      <w:r w:rsidR="00853D60">
        <w:rPr>
          <w:rFonts w:eastAsia="Times New Roman"/>
        </w:rPr>
        <w:t>,</w:t>
      </w:r>
      <w:r>
        <w:rPr>
          <w:rFonts w:eastAsia="Times New Roman"/>
        </w:rPr>
        <w:t xml:space="preserve"> </w:t>
      </w:r>
      <w:r w:rsidR="00853D60">
        <w:rPr>
          <w:rFonts w:eastAsia="Times New Roman"/>
        </w:rPr>
        <w:t xml:space="preserve">som ett citat ovan från en tidig artikel av Glass illustrerade, </w:t>
      </w:r>
      <w:r>
        <w:rPr>
          <w:rFonts w:eastAsia="Times New Roman"/>
        </w:rPr>
        <w:t xml:space="preserve">en förutsättning för kumulativ kunskapsutveckling. </w:t>
      </w:r>
      <w:r w:rsidR="00853D60">
        <w:rPr>
          <w:rFonts w:eastAsia="Times New Roman"/>
        </w:rPr>
        <w:t xml:space="preserve">Formaliseringen av </w:t>
      </w:r>
      <w:r w:rsidR="00D00CC7">
        <w:rPr>
          <w:rFonts w:eastAsia="Times New Roman"/>
        </w:rPr>
        <w:t xml:space="preserve">intellektuella operationer </w:t>
      </w:r>
      <w:r w:rsidR="00853D60">
        <w:rPr>
          <w:rFonts w:eastAsia="Times New Roman"/>
        </w:rPr>
        <w:t xml:space="preserve">har drivits avsevärt längre i </w:t>
      </w:r>
      <w:r w:rsidR="00853D60" w:rsidRPr="00853D60">
        <w:rPr>
          <w:rFonts w:eastAsia="Times New Roman"/>
        </w:rPr>
        <w:t>kvantitativ</w:t>
      </w:r>
      <w:r w:rsidR="00853D60">
        <w:rPr>
          <w:rFonts w:eastAsia="Times New Roman"/>
        </w:rPr>
        <w:t>a</w:t>
      </w:r>
      <w:r w:rsidR="00853D60" w:rsidRPr="00853D60">
        <w:rPr>
          <w:rFonts w:eastAsia="Times New Roman"/>
        </w:rPr>
        <w:t xml:space="preserve"> </w:t>
      </w:r>
      <w:r w:rsidR="00853D60">
        <w:rPr>
          <w:rFonts w:eastAsia="Times New Roman"/>
        </w:rPr>
        <w:t xml:space="preserve">metoder för syntes än i kvalitativa, </w:t>
      </w:r>
      <w:r w:rsidR="006F7D26">
        <w:rPr>
          <w:rFonts w:eastAsia="Times New Roman"/>
        </w:rPr>
        <w:t xml:space="preserve">men </w:t>
      </w:r>
      <w:r w:rsidR="000E1F2F">
        <w:rPr>
          <w:rFonts w:eastAsia="Times New Roman"/>
        </w:rPr>
        <w:t xml:space="preserve">ett grundantagande i fältet </w:t>
      </w:r>
      <w:r w:rsidR="006F7D26" w:rsidRPr="006F7D26">
        <w:rPr>
          <w:rFonts w:eastAsia="Times New Roman"/>
        </w:rPr>
        <w:t xml:space="preserve">research synthesis </w:t>
      </w:r>
      <w:r w:rsidR="000E1F2F">
        <w:rPr>
          <w:rFonts w:eastAsia="Times New Roman"/>
        </w:rPr>
        <w:t xml:space="preserve">som helhet är att </w:t>
      </w:r>
      <w:r w:rsidR="00D00CC7">
        <w:rPr>
          <w:rFonts w:eastAsia="Times New Roman"/>
        </w:rPr>
        <w:t xml:space="preserve">integration, generalisering och </w:t>
      </w:r>
      <w:r w:rsidR="00D00CC7">
        <w:rPr>
          <w:rFonts w:eastAsia="Times New Roman"/>
        </w:rPr>
        <w:lastRenderedPageBreak/>
        <w:t>kumulativitet k</w:t>
      </w:r>
      <w:r w:rsidR="00AF7F64">
        <w:rPr>
          <w:rFonts w:eastAsia="Times New Roman"/>
        </w:rPr>
        <w:t xml:space="preserve">räver formaliserade procedurer. </w:t>
      </w:r>
      <w:r w:rsidR="00761C2B">
        <w:rPr>
          <w:rFonts w:eastAsia="Times New Roman"/>
        </w:rPr>
        <w:t xml:space="preserve">För att </w:t>
      </w:r>
      <w:r w:rsidR="00761C2B" w:rsidRPr="00761C2B">
        <w:rPr>
          <w:rFonts w:eastAsia="Times New Roman"/>
        </w:rPr>
        <w:t xml:space="preserve">översikter </w:t>
      </w:r>
      <w:r w:rsidR="00761C2B">
        <w:rPr>
          <w:rFonts w:eastAsia="Times New Roman"/>
        </w:rPr>
        <w:t xml:space="preserve">av existerande </w:t>
      </w:r>
      <w:r w:rsidR="00761C2B" w:rsidRPr="00761C2B">
        <w:rPr>
          <w:rFonts w:eastAsia="Times New Roman"/>
        </w:rPr>
        <w:t xml:space="preserve">forskning </w:t>
      </w:r>
      <w:r w:rsidR="00761C2B">
        <w:rPr>
          <w:rFonts w:eastAsia="Times New Roman"/>
        </w:rPr>
        <w:t xml:space="preserve">ska kunna motsvara rimliga krav på </w:t>
      </w:r>
      <w:r w:rsidR="00761C2B" w:rsidRPr="00761C2B">
        <w:rPr>
          <w:rFonts w:eastAsia="Times New Roman"/>
        </w:rPr>
        <w:t xml:space="preserve">vetenskaplig </w:t>
      </w:r>
      <w:r w:rsidR="00761C2B">
        <w:rPr>
          <w:rFonts w:eastAsia="Times New Roman"/>
        </w:rPr>
        <w:t xml:space="preserve">tillförlitlighet måste de </w:t>
      </w:r>
      <w:r w:rsidR="00AF7F64">
        <w:rPr>
          <w:rFonts w:eastAsia="Times New Roman"/>
        </w:rPr>
        <w:t xml:space="preserve">informella tillvägagångssätt som traditionellt har </w:t>
      </w:r>
      <w:r w:rsidR="00761C2B">
        <w:rPr>
          <w:rFonts w:eastAsia="Times New Roman"/>
        </w:rPr>
        <w:t>praktiserats överges.</w:t>
      </w:r>
    </w:p>
    <w:p w14:paraId="228E61B4" w14:textId="77777777" w:rsidR="00F46786" w:rsidRDefault="00F46786" w:rsidP="00234BDF"/>
    <w:p w14:paraId="4B46EA17" w14:textId="77777777" w:rsidR="001A72BB" w:rsidRDefault="001A72BB" w:rsidP="00234BDF"/>
    <w:p w14:paraId="7A8F5AEE" w14:textId="77777777" w:rsidR="008755BC" w:rsidRPr="007159D2" w:rsidRDefault="002B3DBC" w:rsidP="00234BDF">
      <w:pPr>
        <w:rPr>
          <w:i/>
        </w:rPr>
      </w:pPr>
      <w:r w:rsidRPr="007159D2">
        <w:rPr>
          <w:i/>
        </w:rPr>
        <w:t>Experters roll</w:t>
      </w:r>
    </w:p>
    <w:p w14:paraId="68A04FD9" w14:textId="77777777" w:rsidR="002B3DBC" w:rsidRDefault="002B3DBC" w:rsidP="00234BDF"/>
    <w:p w14:paraId="69242D8B" w14:textId="77777777" w:rsidR="001B5828" w:rsidRDefault="00B808DF" w:rsidP="001E616B">
      <w:r>
        <w:t xml:space="preserve">Kritiken av informella rutiner för utarbetande av </w:t>
      </w:r>
      <w:r w:rsidRPr="00F827D0">
        <w:t xml:space="preserve">översikter </w:t>
      </w:r>
      <w:r>
        <w:t xml:space="preserve">kopplas ibland till den roll experter spelar i sammanhanget. </w:t>
      </w:r>
      <w:r w:rsidR="001E616B">
        <w:t xml:space="preserve">I ett viktigt översiktsverk </w:t>
      </w:r>
      <w:r w:rsidR="009A41E1">
        <w:t xml:space="preserve">sammanställt </w:t>
      </w:r>
      <w:r w:rsidR="001E616B">
        <w:t xml:space="preserve">av David Gough och hans kolleger vid </w:t>
      </w:r>
      <w:r w:rsidR="001E616B">
        <w:rPr>
          <w:rFonts w:eastAsia="Times New Roman"/>
        </w:rPr>
        <w:t xml:space="preserve">EPPI-Centre görs t ex </w:t>
      </w:r>
      <w:r w:rsidR="001E616B">
        <w:t xml:space="preserve">en </w:t>
      </w:r>
      <w:r w:rsidR="004909A9">
        <w:t xml:space="preserve">tydlig </w:t>
      </w:r>
      <w:r w:rsidR="001E765B">
        <w:t>koppling</w:t>
      </w:r>
      <w:r w:rsidR="004909A9">
        <w:t xml:space="preserve"> </w:t>
      </w:r>
      <w:r w:rsidR="001E616B">
        <w:t xml:space="preserve">mellan traditionella </w:t>
      </w:r>
      <w:r w:rsidR="001E616B" w:rsidRPr="00F827D0">
        <w:t xml:space="preserve">översikter </w:t>
      </w:r>
      <w:r w:rsidR="001E616B">
        <w:t xml:space="preserve">och “expert reviews”. Relationen mellan de två kategorierna är inte klar i deras resonemang, men </w:t>
      </w:r>
      <w:r w:rsidR="00B32B2A">
        <w:t xml:space="preserve">givet att forskare med kompetens inom specifika fält </w:t>
      </w:r>
      <w:r w:rsidR="00594A63">
        <w:t xml:space="preserve">ofta ombeds att ge sammanfattningar av forskningsläget, i synnerhet för den typ av </w:t>
      </w:r>
      <w:r w:rsidR="007159D2">
        <w:t xml:space="preserve">publikationer </w:t>
      </w:r>
      <w:r w:rsidR="00594A63">
        <w:t>som kallas “handbooks”</w:t>
      </w:r>
      <w:r w:rsidR="007159D2">
        <w:t xml:space="preserve"> och brukar ha formen av antologier</w:t>
      </w:r>
      <w:r w:rsidR="00594A63">
        <w:t xml:space="preserve">, är det rimligt att betrakta expert </w:t>
      </w:r>
      <w:r w:rsidR="00594A63" w:rsidRPr="00F827D0">
        <w:t xml:space="preserve">reviews </w:t>
      </w:r>
      <w:r w:rsidR="00594A63">
        <w:t xml:space="preserve">som en viktig undergrupp under traditionella </w:t>
      </w:r>
      <w:r w:rsidR="001B5828">
        <w:t>översikter.</w:t>
      </w:r>
    </w:p>
    <w:p w14:paraId="2BF4150C" w14:textId="77777777" w:rsidR="001B5828" w:rsidRDefault="001B5828" w:rsidP="001E616B"/>
    <w:p w14:paraId="4DD8483F" w14:textId="77777777" w:rsidR="002B3DBC" w:rsidRDefault="00411A35" w:rsidP="001E616B">
      <w:r>
        <w:t xml:space="preserve">Att förlita sig </w:t>
      </w:r>
      <w:r w:rsidR="007159D2">
        <w:t>på</w:t>
      </w:r>
      <w:r>
        <w:t xml:space="preserve"> experters kunnande är, enligt Gough och hans kolleger, förknippat med flera risker. Deras invändningar lyder som följer:</w:t>
      </w:r>
    </w:p>
    <w:p w14:paraId="7D587F63" w14:textId="77777777" w:rsidR="00411A35" w:rsidRDefault="00411A35" w:rsidP="001E616B"/>
    <w:p w14:paraId="471BE563" w14:textId="77777777" w:rsidR="00411A35" w:rsidRDefault="00411A35" w:rsidP="009A41E1">
      <w:pPr>
        <w:pStyle w:val="Cit"/>
      </w:pPr>
      <w:r>
        <w:t>1. [The] experts’ ideological and theoretical perspectives, and thus the conceptual framework determining their assessment of the research, will not be explicit</w:t>
      </w:r>
      <w:r w:rsidR="009A41E1">
        <w:t>...</w:t>
      </w:r>
    </w:p>
    <w:p w14:paraId="143BDA83" w14:textId="77777777" w:rsidR="009A41E1" w:rsidRDefault="00411A35" w:rsidP="009A41E1">
      <w:pPr>
        <w:pStyle w:val="Cit"/>
      </w:pPr>
      <w:r>
        <w:t xml:space="preserve">2. </w:t>
      </w:r>
      <w:r w:rsidR="009A41E1">
        <w:t>[The] boundaries of the experts’ knowledge may not be transparent; that is the boundaries of studies</w:t>
      </w:r>
      <w:r w:rsidR="001632A0">
        <w:t xml:space="preserve"> </w:t>
      </w:r>
      <w:r w:rsidR="009A41E1">
        <w:t>familiar to them and thus the evidence being considered.</w:t>
      </w:r>
    </w:p>
    <w:p w14:paraId="573A9B5F" w14:textId="77777777" w:rsidR="009A41E1" w:rsidRDefault="009A41E1" w:rsidP="009A41E1">
      <w:pPr>
        <w:pStyle w:val="Cit"/>
      </w:pPr>
      <w:r>
        <w:t>3. [Even] if the boundaries of the studies are clear, the expert may know some of the studies within those boundaries better than others so not all of the research will have equal representation in the conclusions they draw.</w:t>
      </w:r>
    </w:p>
    <w:p w14:paraId="7E6765CC" w14:textId="77777777" w:rsidR="009A41E1" w:rsidRDefault="009A41E1" w:rsidP="009A41E1">
      <w:pPr>
        <w:pStyle w:val="Cit"/>
      </w:pPr>
      <w:r>
        <w:t>4 och 5. [The] related problems of how the experts assess the quality and appraise the relevance and then synthesise different pieces of evidence.</w:t>
      </w:r>
    </w:p>
    <w:p w14:paraId="5FB93E97" w14:textId="77777777" w:rsidR="009A41E1" w:rsidRDefault="00E666EA" w:rsidP="009A41E1">
      <w:pPr>
        <w:pStyle w:val="Cit"/>
      </w:pPr>
      <w:r>
        <w:t>6. [T</w:t>
      </w:r>
      <w:r w:rsidR="009A41E1">
        <w:t>he</w:t>
      </w:r>
      <w:r>
        <w:t>]</w:t>
      </w:r>
      <w:r w:rsidR="009A41E1">
        <w:t xml:space="preserve"> extent to which the expert draws on other forms of knowledge, such as practice knowledge, in fo</w:t>
      </w:r>
      <w:r>
        <w:t>rming their overall conclusions [may not be clear].</w:t>
      </w:r>
    </w:p>
    <w:p w14:paraId="60A30DE1" w14:textId="77777777" w:rsidR="00411A35" w:rsidRDefault="00E666EA" w:rsidP="009A41E1">
      <w:pPr>
        <w:pStyle w:val="Cit"/>
      </w:pPr>
      <w:r>
        <w:t>7. [T</w:t>
      </w:r>
      <w:r w:rsidR="009A41E1">
        <w:t>he] manner in which someone is assessed as be</w:t>
      </w:r>
      <w:r w:rsidR="00652A62">
        <w:t>ing expert on a particular area</w:t>
      </w:r>
      <w:r w:rsidR="009A41E1">
        <w:t xml:space="preserve"> not be appropria</w:t>
      </w:r>
      <w:r w:rsidR="00FE3371">
        <w:t>te. (Gough, Oliver &amp; Thomas 2012</w:t>
      </w:r>
      <w:r w:rsidR="00652A62">
        <w:t>b</w:t>
      </w:r>
      <w:r w:rsidR="009A41E1">
        <w:t>, 6)</w:t>
      </w:r>
    </w:p>
    <w:p w14:paraId="6A586793" w14:textId="77777777" w:rsidR="009A41E1" w:rsidRDefault="009A41E1" w:rsidP="009A41E1"/>
    <w:p w14:paraId="5C8A4F63" w14:textId="77777777" w:rsidR="00D17B61" w:rsidRDefault="00F4303E" w:rsidP="009A41E1">
      <w:r>
        <w:lastRenderedPageBreak/>
        <w:t xml:space="preserve">Den gemensamma nämnaren i dessa reservationer mot </w:t>
      </w:r>
      <w:r w:rsidR="003A3E76">
        <w:t xml:space="preserve">bruket av expertkompetens i utarbetandet av </w:t>
      </w:r>
      <w:r w:rsidR="003A3E76" w:rsidRPr="00F827D0">
        <w:t xml:space="preserve">översikter </w:t>
      </w:r>
      <w:r w:rsidR="003A3E76">
        <w:t xml:space="preserve">är bristen på transparens. </w:t>
      </w:r>
      <w:r w:rsidR="009E2A05">
        <w:t xml:space="preserve">Skälet till att man vänder sig till experter </w:t>
      </w:r>
      <w:r w:rsidR="00D17B61">
        <w:t xml:space="preserve">för att tolka och utvärdera forskningen inom något specialområde är att de </w:t>
      </w:r>
      <w:r w:rsidR="003A3E76">
        <w:t xml:space="preserve">besitter </w:t>
      </w:r>
      <w:r w:rsidR="00D17B61">
        <w:t xml:space="preserve">ett kunnande </w:t>
      </w:r>
      <w:r w:rsidR="00C864B7">
        <w:t xml:space="preserve">som inte är tillgängligt i skriftliga källor eller datormjukvara. Risken med att lita till sådant kunnande är att det </w:t>
      </w:r>
      <w:r w:rsidR="00326AF5">
        <w:t>inte är genomski</w:t>
      </w:r>
      <w:r w:rsidR="00C864B7">
        <w:t xml:space="preserve">nligt. </w:t>
      </w:r>
      <w:r w:rsidR="00326AF5">
        <w:t xml:space="preserve">De invändningar Gough, Oliver och Thomas ger mot experters medverkan ger, liksom kritiken av informella rutiner för </w:t>
      </w:r>
      <w:r w:rsidR="00326AF5" w:rsidRPr="00F827D0">
        <w:t xml:space="preserve">översikter </w:t>
      </w:r>
      <w:r w:rsidR="00326AF5">
        <w:t>mer allmänt, argument för formalisering av procedurer.</w:t>
      </w:r>
    </w:p>
    <w:p w14:paraId="411472C4" w14:textId="77777777" w:rsidR="00D17B61" w:rsidRDefault="00D17B61" w:rsidP="009A41E1"/>
    <w:p w14:paraId="48838EF6" w14:textId="77777777" w:rsidR="003A3E76" w:rsidRPr="00235718" w:rsidRDefault="00B1271E" w:rsidP="009A41E1">
      <w:pPr>
        <w:rPr>
          <w:i/>
        </w:rPr>
      </w:pPr>
      <w:r w:rsidRPr="00235718">
        <w:rPr>
          <w:i/>
        </w:rPr>
        <w:t>Aggregering och konfigurering</w:t>
      </w:r>
    </w:p>
    <w:p w14:paraId="7A105153" w14:textId="77777777" w:rsidR="003A3E76" w:rsidRDefault="003A3E76" w:rsidP="009A41E1"/>
    <w:p w14:paraId="5F0CD4D0" w14:textId="77777777" w:rsidR="00B1271E" w:rsidRDefault="00A57A2C" w:rsidP="009A41E1">
      <w:pPr>
        <w:rPr>
          <w:rFonts w:eastAsia="Times New Roman"/>
        </w:rPr>
      </w:pPr>
      <w:r>
        <w:t>I likhet med</w:t>
      </w:r>
      <w:r w:rsidR="00602C59">
        <w:t xml:space="preserve"> många </w:t>
      </w:r>
      <w:r>
        <w:t xml:space="preserve">forskare </w:t>
      </w:r>
      <w:r w:rsidR="00602C59">
        <w:t xml:space="preserve">som i deras efterföljd har utvecklat metoder för syntes av </w:t>
      </w:r>
      <w:r w:rsidR="00602C59">
        <w:rPr>
          <w:rFonts w:eastAsia="Times New Roman"/>
        </w:rPr>
        <w:t xml:space="preserve">kvalitativa studier </w:t>
      </w:r>
      <w:r w:rsidR="008343D8">
        <w:rPr>
          <w:rFonts w:eastAsia="Times New Roman"/>
        </w:rPr>
        <w:t>hävdade</w:t>
      </w:r>
      <w:r w:rsidR="00602C59">
        <w:rPr>
          <w:rFonts w:eastAsia="Times New Roman"/>
        </w:rPr>
        <w:t xml:space="preserve"> Noblit och Hare </w:t>
      </w:r>
      <w:r w:rsidR="00677F6A">
        <w:rPr>
          <w:rFonts w:eastAsia="Times New Roman"/>
        </w:rPr>
        <w:t xml:space="preserve">att </w:t>
      </w:r>
      <w:r w:rsidR="00602C59" w:rsidRPr="00602C59">
        <w:rPr>
          <w:rFonts w:eastAsia="Times New Roman"/>
        </w:rPr>
        <w:t>ku</w:t>
      </w:r>
      <w:r w:rsidR="008B6335">
        <w:rPr>
          <w:rFonts w:eastAsia="Times New Roman"/>
        </w:rPr>
        <w:t>nskapsbildning</w:t>
      </w:r>
      <w:r w:rsidR="00602C59">
        <w:rPr>
          <w:rFonts w:eastAsia="Times New Roman"/>
        </w:rPr>
        <w:t xml:space="preserve"> </w:t>
      </w:r>
      <w:r w:rsidR="00677F6A">
        <w:rPr>
          <w:rFonts w:eastAsia="Times New Roman"/>
        </w:rPr>
        <w:t xml:space="preserve">följer helt skilda principer </w:t>
      </w:r>
      <w:r w:rsidR="008B6335">
        <w:rPr>
          <w:rFonts w:eastAsia="Times New Roman"/>
        </w:rPr>
        <w:t xml:space="preserve">inom </w:t>
      </w:r>
      <w:r w:rsidR="00677F6A">
        <w:rPr>
          <w:rFonts w:eastAsia="Times New Roman"/>
        </w:rPr>
        <w:t xml:space="preserve">de </w:t>
      </w:r>
      <w:r w:rsidR="008B6335">
        <w:rPr>
          <w:rFonts w:eastAsia="Times New Roman"/>
        </w:rPr>
        <w:t>två breda traditioner</w:t>
      </w:r>
      <w:r w:rsidR="00D454CA">
        <w:rPr>
          <w:rFonts w:eastAsia="Times New Roman"/>
        </w:rPr>
        <w:t xml:space="preserve"> </w:t>
      </w:r>
      <w:r w:rsidR="00677F6A">
        <w:rPr>
          <w:rFonts w:eastAsia="Times New Roman"/>
        </w:rPr>
        <w:t xml:space="preserve">som de kallade </w:t>
      </w:r>
      <w:r w:rsidR="00602C59">
        <w:rPr>
          <w:rFonts w:eastAsia="Times New Roman"/>
        </w:rPr>
        <w:t>det positivistiska resp</w:t>
      </w:r>
      <w:r w:rsidR="00D454CA">
        <w:rPr>
          <w:rFonts w:eastAsia="Times New Roman"/>
        </w:rPr>
        <w:t>ektive det tolkande</w:t>
      </w:r>
      <w:r w:rsidR="00677F6A">
        <w:rPr>
          <w:rFonts w:eastAsia="Times New Roman"/>
        </w:rPr>
        <w:t xml:space="preserve"> paradigmet</w:t>
      </w:r>
      <w:r w:rsidR="00D454CA">
        <w:rPr>
          <w:rFonts w:eastAsia="Times New Roman"/>
        </w:rPr>
        <w:t xml:space="preserve">. </w:t>
      </w:r>
      <w:r w:rsidR="00677F6A">
        <w:rPr>
          <w:rFonts w:eastAsia="Times New Roman"/>
        </w:rPr>
        <w:t xml:space="preserve">Att utforma metoder </w:t>
      </w:r>
      <w:r w:rsidR="00D454CA">
        <w:rPr>
          <w:rFonts w:eastAsia="Times New Roman"/>
        </w:rPr>
        <w:t xml:space="preserve">för </w:t>
      </w:r>
      <w:r w:rsidR="00677F6A">
        <w:rPr>
          <w:rFonts w:eastAsia="Times New Roman"/>
        </w:rPr>
        <w:t xml:space="preserve">syntes av </w:t>
      </w:r>
      <w:r w:rsidR="00D454CA">
        <w:rPr>
          <w:rFonts w:eastAsia="Times New Roman"/>
        </w:rPr>
        <w:t xml:space="preserve">primärlitteratur </w:t>
      </w:r>
      <w:r w:rsidR="00677F6A">
        <w:rPr>
          <w:rFonts w:eastAsia="Times New Roman"/>
        </w:rPr>
        <w:t xml:space="preserve">utan att respektera </w:t>
      </w:r>
      <w:r w:rsidR="007377FA">
        <w:rPr>
          <w:rFonts w:eastAsia="Times New Roman"/>
        </w:rPr>
        <w:t>dessa skillander är ett misstag.</w:t>
      </w:r>
      <w:r w:rsidR="008343D8">
        <w:rPr>
          <w:rFonts w:eastAsia="Times New Roman"/>
        </w:rPr>
        <w:t xml:space="preserve"> </w:t>
      </w:r>
      <w:r w:rsidR="007377FA">
        <w:rPr>
          <w:rFonts w:eastAsia="Times New Roman"/>
        </w:rPr>
        <w:t xml:space="preserve">En adekvat metod för syntes av kvalitativa studier kan endast i begränsad omfattning </w:t>
      </w:r>
      <w:r w:rsidR="008343D8">
        <w:rPr>
          <w:rFonts w:eastAsia="Times New Roman"/>
        </w:rPr>
        <w:t xml:space="preserve">bygga på </w:t>
      </w:r>
      <w:r w:rsidR="007377FA">
        <w:rPr>
          <w:rFonts w:eastAsia="Times New Roman"/>
        </w:rPr>
        <w:t>metaanalys:</w:t>
      </w:r>
    </w:p>
    <w:p w14:paraId="0A4D0C8D" w14:textId="77777777" w:rsidR="00D454CA" w:rsidRDefault="00D454CA" w:rsidP="009A41E1">
      <w:pPr>
        <w:rPr>
          <w:rFonts w:eastAsia="Times New Roman"/>
        </w:rPr>
      </w:pPr>
    </w:p>
    <w:p w14:paraId="48E740A8" w14:textId="77777777" w:rsidR="00D454CA" w:rsidRDefault="00D454CA" w:rsidP="00D454CA">
      <w:pPr>
        <w:pStyle w:val="Cit"/>
      </w:pPr>
      <w:r w:rsidRPr="00D454CA">
        <w:t xml:space="preserve">Meta-analysis </w:t>
      </w:r>
      <w:r>
        <w:t xml:space="preserve">and integrative reviews, as </w:t>
      </w:r>
      <w:r w:rsidRPr="00D454CA">
        <w:t xml:space="preserve">quantitative </w:t>
      </w:r>
      <w:r>
        <w:t xml:space="preserve">approaches, require a determination of a basic comparability between phenomena so that the </w:t>
      </w:r>
      <w:r w:rsidRPr="00D454CA">
        <w:t xml:space="preserve">data </w:t>
      </w:r>
      <w:r>
        <w:t xml:space="preserve">can be aggregated for the analysis. This is the crux of the problem with a </w:t>
      </w:r>
      <w:r w:rsidRPr="00D454CA">
        <w:t xml:space="preserve">meta-analysis </w:t>
      </w:r>
      <w:r>
        <w:t>analogy for a meta-ethnography. (Noblit &amp; Hare 1988, 17)</w:t>
      </w:r>
      <w:r w:rsidR="00395B8C">
        <w:rPr>
          <w:rStyle w:val="Fotnotsreferens"/>
        </w:rPr>
        <w:footnoteReference w:id="1"/>
      </w:r>
    </w:p>
    <w:p w14:paraId="6AA85927" w14:textId="77777777" w:rsidR="00D454CA" w:rsidRDefault="00D454CA" w:rsidP="009A41E1">
      <w:pPr>
        <w:rPr>
          <w:rFonts w:eastAsia="Times New Roman"/>
        </w:rPr>
      </w:pPr>
    </w:p>
    <w:p w14:paraId="57710B20" w14:textId="77777777" w:rsidR="00D454CA" w:rsidRDefault="001F313B" w:rsidP="009A41E1">
      <w:pPr>
        <w:rPr>
          <w:rFonts w:eastAsia="Times New Roman"/>
        </w:rPr>
      </w:pPr>
      <w:r>
        <w:t xml:space="preserve">Meta-etnografi introducerades som ett radikalt alternativ till </w:t>
      </w:r>
      <w:r w:rsidR="00C265D2">
        <w:rPr>
          <w:rFonts w:eastAsia="Times New Roman"/>
        </w:rPr>
        <w:t xml:space="preserve">den </w:t>
      </w:r>
      <w:r w:rsidR="00C4237B">
        <w:rPr>
          <w:rFonts w:eastAsia="Times New Roman"/>
        </w:rPr>
        <w:t>“</w:t>
      </w:r>
      <w:r w:rsidR="00824021">
        <w:rPr>
          <w:rFonts w:eastAsia="Times New Roman"/>
        </w:rPr>
        <w:t xml:space="preserve">aggregativa </w:t>
      </w:r>
      <w:r w:rsidR="00C4237B">
        <w:rPr>
          <w:rFonts w:eastAsia="Times New Roman"/>
        </w:rPr>
        <w:t xml:space="preserve">teori” </w:t>
      </w:r>
      <w:r w:rsidR="00C265D2">
        <w:rPr>
          <w:rFonts w:eastAsia="Times New Roman"/>
        </w:rPr>
        <w:t xml:space="preserve">som </w:t>
      </w:r>
      <w:r w:rsidR="00C265D2" w:rsidRPr="00C265D2">
        <w:rPr>
          <w:rFonts w:eastAsia="Times New Roman"/>
        </w:rPr>
        <w:t xml:space="preserve">metaanalys </w:t>
      </w:r>
      <w:r w:rsidR="00C265D2">
        <w:rPr>
          <w:rFonts w:eastAsia="Times New Roman"/>
        </w:rPr>
        <w:t xml:space="preserve">bygger på </w:t>
      </w:r>
      <w:r w:rsidR="00B70A5F">
        <w:rPr>
          <w:rFonts w:eastAsia="Times New Roman"/>
        </w:rPr>
        <w:t>(</w:t>
      </w:r>
      <w:r w:rsidR="00B70A5F">
        <w:t xml:space="preserve">Noblit &amp; Hare 1988, 18, </w:t>
      </w:r>
      <w:r w:rsidR="00C265D2">
        <w:t>25)</w:t>
      </w:r>
      <w:r w:rsidR="00824021">
        <w:rPr>
          <w:rFonts w:eastAsia="Times New Roman"/>
        </w:rPr>
        <w:t xml:space="preserve">. Istället för att behandla </w:t>
      </w:r>
      <w:r w:rsidR="00824021" w:rsidRPr="00824021">
        <w:rPr>
          <w:rFonts w:eastAsia="Times New Roman"/>
        </w:rPr>
        <w:t xml:space="preserve">data </w:t>
      </w:r>
      <w:r w:rsidR="00824021">
        <w:rPr>
          <w:rFonts w:eastAsia="Times New Roman"/>
        </w:rPr>
        <w:t xml:space="preserve">om något fenomen som likvärdiga, så att de kan läggas samman på det sätt som inom </w:t>
      </w:r>
      <w:r w:rsidR="00824021" w:rsidRPr="00824021">
        <w:rPr>
          <w:rFonts w:eastAsia="Times New Roman"/>
        </w:rPr>
        <w:t xml:space="preserve">kvantitativ </w:t>
      </w:r>
      <w:r w:rsidR="00824021">
        <w:rPr>
          <w:rFonts w:eastAsia="Times New Roman"/>
        </w:rPr>
        <w:t xml:space="preserve">syntes brukar kallas “pooling”, insisterade Noblit och Hare på att resultat från etnografiska och andra kvalitativa studier skulle jämföras, tolkas, översättas i termer av </w:t>
      </w:r>
      <w:r w:rsidR="007377FA">
        <w:rPr>
          <w:rFonts w:eastAsia="Times New Roman"/>
        </w:rPr>
        <w:t xml:space="preserve">varandras </w:t>
      </w:r>
      <w:r w:rsidR="00824021">
        <w:rPr>
          <w:rFonts w:eastAsia="Times New Roman"/>
        </w:rPr>
        <w:t xml:space="preserve">begrepp och förklaringar. </w:t>
      </w:r>
      <w:r w:rsidR="007377FA">
        <w:rPr>
          <w:rFonts w:eastAsia="Times New Roman"/>
        </w:rPr>
        <w:t>De föreslog tre skilda strategier för</w:t>
      </w:r>
      <w:r w:rsidR="003F7777">
        <w:rPr>
          <w:rFonts w:eastAsia="Times New Roman"/>
        </w:rPr>
        <w:t>, eller typer av, syntes:</w:t>
      </w:r>
      <w:r w:rsidR="007377FA">
        <w:rPr>
          <w:rFonts w:eastAsia="Times New Roman"/>
        </w:rPr>
        <w:t xml:space="preserve"> </w:t>
      </w:r>
      <w:r w:rsidR="003F7777">
        <w:rPr>
          <w:rFonts w:eastAsia="Times New Roman"/>
        </w:rPr>
        <w:t>“</w:t>
      </w:r>
      <w:r w:rsidR="007377FA">
        <w:rPr>
          <w:rFonts w:eastAsia="Times New Roman"/>
        </w:rPr>
        <w:t>reciprocal translation</w:t>
      </w:r>
      <w:r w:rsidR="003F7777">
        <w:rPr>
          <w:rFonts w:eastAsia="Times New Roman"/>
        </w:rPr>
        <w:t>s”, “</w:t>
      </w:r>
      <w:r w:rsidR="007377FA">
        <w:rPr>
          <w:rFonts w:eastAsia="Times New Roman"/>
        </w:rPr>
        <w:t xml:space="preserve">refutational </w:t>
      </w:r>
      <w:r w:rsidR="003F7777">
        <w:rPr>
          <w:rFonts w:eastAsia="Times New Roman"/>
        </w:rPr>
        <w:t>synthesis”</w:t>
      </w:r>
      <w:r w:rsidR="007377FA">
        <w:rPr>
          <w:rFonts w:eastAsia="Times New Roman"/>
        </w:rPr>
        <w:t xml:space="preserve">, och </w:t>
      </w:r>
      <w:r w:rsidR="003F7777">
        <w:rPr>
          <w:rFonts w:eastAsia="Times New Roman"/>
        </w:rPr>
        <w:t>“lines-of-argument synthesis”.</w:t>
      </w:r>
      <w:r w:rsidR="008A727D">
        <w:rPr>
          <w:rFonts w:eastAsia="Times New Roman"/>
        </w:rPr>
        <w:t xml:space="preserve"> </w:t>
      </w:r>
      <w:r w:rsidR="009C4A76">
        <w:rPr>
          <w:rFonts w:eastAsia="Times New Roman"/>
        </w:rPr>
        <w:t>I ett senare avsnitt</w:t>
      </w:r>
      <w:r w:rsidR="00824021">
        <w:rPr>
          <w:rFonts w:eastAsia="Times New Roman"/>
        </w:rPr>
        <w:t xml:space="preserve"> återkommer </w:t>
      </w:r>
      <w:r w:rsidR="009C4A76">
        <w:rPr>
          <w:rFonts w:eastAsia="Times New Roman"/>
        </w:rPr>
        <w:t xml:space="preserve">jag </w:t>
      </w:r>
      <w:r w:rsidR="00824021">
        <w:rPr>
          <w:rFonts w:eastAsia="Times New Roman"/>
        </w:rPr>
        <w:t>till de</w:t>
      </w:r>
      <w:r w:rsidR="008A727D">
        <w:rPr>
          <w:rFonts w:eastAsia="Times New Roman"/>
        </w:rPr>
        <w:t>ssa strategier.</w:t>
      </w:r>
    </w:p>
    <w:p w14:paraId="26C4C24A" w14:textId="77777777" w:rsidR="006E1713" w:rsidRDefault="006E1713" w:rsidP="009A41E1">
      <w:pPr>
        <w:rPr>
          <w:rFonts w:eastAsia="Times New Roman"/>
        </w:rPr>
      </w:pPr>
    </w:p>
    <w:p w14:paraId="655E476E" w14:textId="77777777" w:rsidR="006E1713" w:rsidRDefault="00CC55BE" w:rsidP="00FA0588">
      <w:pPr>
        <w:rPr>
          <w:rFonts w:eastAsia="Times New Roman"/>
        </w:rPr>
      </w:pPr>
      <w:r>
        <w:lastRenderedPageBreak/>
        <w:t xml:space="preserve">Margaret Sandelowski har publicerat många arbeten inom </w:t>
      </w:r>
      <w:r>
        <w:rPr>
          <w:rFonts w:eastAsia="Times New Roman"/>
        </w:rPr>
        <w:t xml:space="preserve">kvalitativ </w:t>
      </w:r>
      <w:r>
        <w:t xml:space="preserve">syntes, bl a en handbok </w:t>
      </w:r>
      <w:r w:rsidR="00DA5735">
        <w:t xml:space="preserve">(Sandelowski &amp; Barroso 2007). Tillsammans med </w:t>
      </w:r>
      <w:r>
        <w:t xml:space="preserve">en grupp kolleger har </w:t>
      </w:r>
      <w:r w:rsidR="00DA5735">
        <w:t xml:space="preserve">hon </w:t>
      </w:r>
      <w:r w:rsidR="008C5BA0">
        <w:t>tagit viktiga steg för att vidar</w:t>
      </w:r>
      <w:r w:rsidR="0099551E">
        <w:t>e</w:t>
      </w:r>
      <w:r w:rsidR="008C5BA0">
        <w:t>utveckla</w:t>
      </w:r>
      <w:r w:rsidR="00DA5735">
        <w:t xml:space="preserve"> </w:t>
      </w:r>
      <w:r w:rsidR="008C5BA0">
        <w:t xml:space="preserve">distinktionen mellan en aggregerande och en tolkande ansats inom </w:t>
      </w:r>
      <w:r w:rsidR="008C5BA0" w:rsidRPr="00F827D0">
        <w:t xml:space="preserve">research synthesis </w:t>
      </w:r>
      <w:r w:rsidR="008C5BA0">
        <w:t xml:space="preserve">till en </w:t>
      </w:r>
      <w:r w:rsidR="0099551E">
        <w:t>komplex, nyanserad</w:t>
      </w:r>
      <w:r w:rsidR="008C5BA0">
        <w:t xml:space="preserve"> begreppsapparat. </w:t>
      </w:r>
      <w:r w:rsidR="003F3058">
        <w:t xml:space="preserve">I en artikel från 2006, med Sandelowski som försteförfattare, introducerades begreppet konfigurering i diskussioner om syntesers epistemologi, med hänvisning till </w:t>
      </w:r>
      <w:r w:rsidR="006E40A1">
        <w:t xml:space="preserve">en av </w:t>
      </w:r>
      <w:r w:rsidR="00F12B84">
        <w:t>Noblit och</w:t>
      </w:r>
      <w:r w:rsidR="003F3058">
        <w:t xml:space="preserve"> Hares </w:t>
      </w:r>
      <w:r w:rsidR="006E40A1">
        <w:rPr>
          <w:rFonts w:eastAsia="Times New Roman"/>
        </w:rPr>
        <w:t>strategier</w:t>
      </w:r>
      <w:r w:rsidR="003F3058">
        <w:rPr>
          <w:rFonts w:eastAsia="Times New Roman"/>
        </w:rPr>
        <w:t xml:space="preserve">. Sammanhanget var dock inte syntes av en </w:t>
      </w:r>
      <w:r w:rsidR="00F12B84">
        <w:rPr>
          <w:rFonts w:eastAsia="Times New Roman"/>
        </w:rPr>
        <w:t>grupp</w:t>
      </w:r>
      <w:r w:rsidR="003F3058">
        <w:rPr>
          <w:rFonts w:eastAsia="Times New Roman"/>
        </w:rPr>
        <w:t xml:space="preserve"> kvalitativa studier, som i meta</w:t>
      </w:r>
      <w:r w:rsidR="00F12B84">
        <w:rPr>
          <w:rFonts w:eastAsia="Times New Roman"/>
        </w:rPr>
        <w:t>-</w:t>
      </w:r>
      <w:r w:rsidR="003F3058">
        <w:rPr>
          <w:rFonts w:eastAsia="Times New Roman"/>
        </w:rPr>
        <w:t xml:space="preserve">etnografi, utan “mixed-methods synthesis” dvs syntes av såväl kvantitativa som kvalitativa data. </w:t>
      </w:r>
      <w:r w:rsidR="006E40A1">
        <w:rPr>
          <w:rFonts w:eastAsia="Times New Roman"/>
        </w:rPr>
        <w:t xml:space="preserve">Konfigurering ställs här mot assimilering. Medan det senare tillvägagångssättet innebär att lägga samman kvantitativa resultat med </w:t>
      </w:r>
      <w:r w:rsidR="006E40A1" w:rsidRPr="006E40A1">
        <w:rPr>
          <w:rFonts w:eastAsia="Times New Roman"/>
        </w:rPr>
        <w:t>kvalitativ</w:t>
      </w:r>
      <w:r w:rsidR="00F12B84">
        <w:rPr>
          <w:rFonts w:eastAsia="Times New Roman"/>
        </w:rPr>
        <w:t>a</w:t>
      </w:r>
      <w:r w:rsidR="006E40A1" w:rsidRPr="006E40A1">
        <w:rPr>
          <w:rFonts w:eastAsia="Times New Roman"/>
        </w:rPr>
        <w:t xml:space="preserve"> </w:t>
      </w:r>
      <w:r w:rsidR="006E40A1">
        <w:rPr>
          <w:rFonts w:eastAsia="Times New Roman"/>
        </w:rPr>
        <w:t xml:space="preserve">som vore de helt ekvivalenta, innebär konfigurering att </w:t>
      </w:r>
      <w:r w:rsidR="00F12B84">
        <w:rPr>
          <w:rFonts w:eastAsia="Times New Roman"/>
        </w:rPr>
        <w:t>ordna</w:t>
      </w:r>
      <w:r w:rsidR="006E40A1">
        <w:rPr>
          <w:rFonts w:eastAsia="Times New Roman"/>
        </w:rPr>
        <w:t xml:space="preserve"> kompletterande resultat till ett mönst</w:t>
      </w:r>
      <w:r w:rsidR="00F12B84">
        <w:rPr>
          <w:rFonts w:eastAsia="Times New Roman"/>
        </w:rPr>
        <w:t xml:space="preserve">er, som i Noblir och Hares lines of </w:t>
      </w:r>
      <w:r w:rsidR="006E40A1">
        <w:rPr>
          <w:rFonts w:eastAsia="Times New Roman"/>
        </w:rPr>
        <w:t>argument-ansats</w:t>
      </w:r>
      <w:r w:rsidR="00F12B84">
        <w:rPr>
          <w:rFonts w:eastAsia="Times New Roman"/>
        </w:rPr>
        <w:t>,</w:t>
      </w:r>
      <w:r w:rsidR="006E40A1">
        <w:rPr>
          <w:rFonts w:eastAsia="Times New Roman"/>
        </w:rPr>
        <w:t xml:space="preserve"> eller som en teori eller ett narrativ </w:t>
      </w:r>
      <w:r w:rsidR="003C00D5">
        <w:rPr>
          <w:rFonts w:eastAsia="Times New Roman"/>
        </w:rPr>
        <w:t xml:space="preserve">med utsträckning i tid </w:t>
      </w:r>
      <w:r w:rsidR="006E40A1">
        <w:rPr>
          <w:rFonts w:eastAsia="Times New Roman"/>
        </w:rPr>
        <w:t xml:space="preserve">(Sandelowski, Voils, </w:t>
      </w:r>
      <w:r w:rsidR="006E40A1" w:rsidRPr="00723D3E">
        <w:rPr>
          <w:rFonts w:eastAsia="Times New Roman"/>
        </w:rPr>
        <w:t>&amp; B</w:t>
      </w:r>
      <w:r w:rsidR="006E40A1">
        <w:rPr>
          <w:rFonts w:eastAsia="Times New Roman"/>
        </w:rPr>
        <w:t xml:space="preserve">arroso 2006, 33). </w:t>
      </w:r>
      <w:r w:rsidR="00FA0588">
        <w:rPr>
          <w:rFonts w:eastAsia="Times New Roman"/>
        </w:rPr>
        <w:t xml:space="preserve">Två </w:t>
      </w:r>
      <w:r w:rsidR="00125259">
        <w:rPr>
          <w:rFonts w:eastAsia="Times New Roman"/>
        </w:rPr>
        <w:t xml:space="preserve">år senare </w:t>
      </w:r>
      <w:r w:rsidR="00861882">
        <w:rPr>
          <w:rFonts w:eastAsia="Times New Roman"/>
        </w:rPr>
        <w:t>tog</w:t>
      </w:r>
      <w:r w:rsidR="00125259">
        <w:rPr>
          <w:rFonts w:eastAsia="Times New Roman"/>
        </w:rPr>
        <w:t xml:space="preserve"> </w:t>
      </w:r>
      <w:r w:rsidR="00861882">
        <w:rPr>
          <w:rFonts w:eastAsia="Times New Roman"/>
        </w:rPr>
        <w:t>gruppen sitt resonemang</w:t>
      </w:r>
      <w:r w:rsidR="00125259">
        <w:rPr>
          <w:rFonts w:eastAsia="Times New Roman"/>
        </w:rPr>
        <w:t xml:space="preserve"> </w:t>
      </w:r>
      <w:r w:rsidR="00861882">
        <w:rPr>
          <w:rFonts w:eastAsia="Times New Roman"/>
        </w:rPr>
        <w:t xml:space="preserve">ett steg vidare. Det sätt att relatera </w:t>
      </w:r>
      <w:r w:rsidR="005A3CD6">
        <w:rPr>
          <w:rFonts w:eastAsia="Times New Roman"/>
        </w:rPr>
        <w:t xml:space="preserve">utfallet av </w:t>
      </w:r>
      <w:r w:rsidR="00861882" w:rsidRPr="00861882">
        <w:rPr>
          <w:rFonts w:eastAsia="Times New Roman"/>
        </w:rPr>
        <w:t>kvalitativ</w:t>
      </w:r>
      <w:r w:rsidR="00861882">
        <w:rPr>
          <w:rFonts w:eastAsia="Times New Roman"/>
        </w:rPr>
        <w:t>a</w:t>
      </w:r>
      <w:r w:rsidR="00861882" w:rsidRPr="00861882">
        <w:rPr>
          <w:rFonts w:eastAsia="Times New Roman"/>
        </w:rPr>
        <w:t xml:space="preserve"> </w:t>
      </w:r>
      <w:r w:rsidR="00861882">
        <w:rPr>
          <w:rFonts w:eastAsia="Times New Roman"/>
        </w:rPr>
        <w:t xml:space="preserve">och </w:t>
      </w:r>
      <w:r w:rsidR="00861882" w:rsidRPr="00861882">
        <w:rPr>
          <w:rFonts w:eastAsia="Times New Roman"/>
        </w:rPr>
        <w:t>kvantitativ</w:t>
      </w:r>
      <w:r w:rsidR="00861882">
        <w:rPr>
          <w:rFonts w:eastAsia="Times New Roman"/>
        </w:rPr>
        <w:t>a</w:t>
      </w:r>
      <w:r w:rsidR="00861882" w:rsidRPr="00861882">
        <w:rPr>
          <w:rFonts w:eastAsia="Times New Roman"/>
        </w:rPr>
        <w:t xml:space="preserve"> </w:t>
      </w:r>
      <w:r w:rsidR="00861882">
        <w:rPr>
          <w:rFonts w:eastAsia="Times New Roman"/>
        </w:rPr>
        <w:t xml:space="preserve">synteser </w:t>
      </w:r>
      <w:r w:rsidR="005A3CD6">
        <w:rPr>
          <w:rFonts w:eastAsia="Times New Roman"/>
        </w:rPr>
        <w:t xml:space="preserve">som </w:t>
      </w:r>
      <w:r w:rsidR="00861882">
        <w:rPr>
          <w:rFonts w:eastAsia="Times New Roman"/>
        </w:rPr>
        <w:t>de rubricerade</w:t>
      </w:r>
      <w:r w:rsidR="005A3CD6">
        <w:rPr>
          <w:rFonts w:eastAsia="Times New Roman"/>
        </w:rPr>
        <w:t xml:space="preserve"> assimilering motsvarar </w:t>
      </w:r>
      <w:r w:rsidR="00AB571C">
        <w:rPr>
          <w:rFonts w:eastAsia="Times New Roman"/>
        </w:rPr>
        <w:t>“</w:t>
      </w:r>
      <w:r w:rsidR="005A3CD6">
        <w:rPr>
          <w:rFonts w:eastAsia="Times New Roman"/>
        </w:rPr>
        <w:t>aggregativ</w:t>
      </w:r>
      <w:r w:rsidR="00AB571C">
        <w:rPr>
          <w:rFonts w:eastAsia="Times New Roman"/>
        </w:rPr>
        <w:t>e</w:t>
      </w:r>
      <w:r w:rsidR="00861882">
        <w:rPr>
          <w:rFonts w:eastAsia="Times New Roman"/>
        </w:rPr>
        <w:t xml:space="preserve"> </w:t>
      </w:r>
      <w:r w:rsidR="00AB571C">
        <w:rPr>
          <w:rFonts w:eastAsia="Times New Roman"/>
        </w:rPr>
        <w:t xml:space="preserve">approaches” </w:t>
      </w:r>
      <w:r w:rsidR="00861882">
        <w:rPr>
          <w:rFonts w:eastAsia="Times New Roman"/>
        </w:rPr>
        <w:t>i syntes av primärl</w:t>
      </w:r>
      <w:r w:rsidR="00FA0588">
        <w:rPr>
          <w:rFonts w:eastAsia="Times New Roman"/>
        </w:rPr>
        <w:t>itteratur, medan konfigurering</w:t>
      </w:r>
      <w:r w:rsidR="005A3CD6">
        <w:rPr>
          <w:rFonts w:eastAsia="Times New Roman"/>
        </w:rPr>
        <w:t>,</w:t>
      </w:r>
      <w:r w:rsidR="00FA0588">
        <w:rPr>
          <w:rFonts w:eastAsia="Times New Roman"/>
        </w:rPr>
        <w:t xml:space="preserve"> </w:t>
      </w:r>
      <w:r w:rsidR="005A3CD6">
        <w:rPr>
          <w:rFonts w:eastAsia="Times New Roman"/>
        </w:rPr>
        <w:t xml:space="preserve">om än termen inte används, </w:t>
      </w:r>
      <w:r w:rsidR="00FA0588">
        <w:rPr>
          <w:rFonts w:eastAsia="Times New Roman"/>
        </w:rPr>
        <w:t>”</w:t>
      </w:r>
      <w:r w:rsidR="00FA0588" w:rsidRPr="00FA0588">
        <w:rPr>
          <w:rFonts w:eastAsia="Times New Roman"/>
        </w:rPr>
        <w:t>appears to be the prevailing mode of synthesis</w:t>
      </w:r>
      <w:r w:rsidR="00FA0588">
        <w:rPr>
          <w:rFonts w:eastAsia="Times New Roman"/>
        </w:rPr>
        <w:t xml:space="preserve"> </w:t>
      </w:r>
      <w:r w:rsidR="00FA0588" w:rsidRPr="00FA0588">
        <w:rPr>
          <w:rFonts w:eastAsia="Times New Roman"/>
        </w:rPr>
        <w:t>advanced for integrating qualitative findings</w:t>
      </w:r>
      <w:r w:rsidR="00FA0588">
        <w:rPr>
          <w:rFonts w:eastAsia="Times New Roman"/>
        </w:rPr>
        <w:t>” (Voils, Sandelowski, Barroso, &amp; Hasselbla</w:t>
      </w:r>
      <w:r w:rsidR="00AB571C">
        <w:rPr>
          <w:rFonts w:eastAsia="Times New Roman"/>
        </w:rPr>
        <w:t>d 2008, 14-15</w:t>
      </w:r>
      <w:r w:rsidR="00FA0588">
        <w:rPr>
          <w:rFonts w:eastAsia="Times New Roman"/>
        </w:rPr>
        <w:t>).</w:t>
      </w:r>
    </w:p>
    <w:p w14:paraId="6CE729CA" w14:textId="77777777" w:rsidR="00FA0588" w:rsidRDefault="00FA0588" w:rsidP="00FA0588">
      <w:pPr>
        <w:rPr>
          <w:rFonts w:eastAsia="Times New Roman"/>
        </w:rPr>
      </w:pPr>
    </w:p>
    <w:p w14:paraId="7B3B1A9F" w14:textId="77777777" w:rsidR="00AA1668" w:rsidRDefault="00847545" w:rsidP="00FA0588">
      <w:pPr>
        <w:rPr>
          <w:rFonts w:eastAsia="Times New Roman"/>
        </w:rPr>
      </w:pPr>
      <w:r>
        <w:rPr>
          <w:rFonts w:eastAsia="Times New Roman"/>
        </w:rPr>
        <w:t xml:space="preserve">I en artikel från 2012 presenterar så Sandelowski med medarbetare en </w:t>
      </w:r>
      <w:r w:rsidR="006D7611">
        <w:rPr>
          <w:rFonts w:eastAsia="Times New Roman"/>
        </w:rPr>
        <w:t>utarbetad</w:t>
      </w:r>
      <w:r>
        <w:rPr>
          <w:rFonts w:eastAsia="Times New Roman"/>
        </w:rPr>
        <w:t xml:space="preserve"> begreppsram för syntesers epistemologi. </w:t>
      </w:r>
      <w:r w:rsidR="006D7611">
        <w:rPr>
          <w:rFonts w:eastAsia="Times New Roman"/>
        </w:rPr>
        <w:t xml:space="preserve">Modellen följer i huvudsak Noblit och Hares distinktion mellan aggregering och </w:t>
      </w:r>
      <w:r w:rsidR="00AB37A2">
        <w:rPr>
          <w:rFonts w:eastAsia="Times New Roman"/>
        </w:rPr>
        <w:t xml:space="preserve">den orientering för vilken Sandelowskis grupp hade introducerat beteckningen konfigurering, </w:t>
      </w:r>
      <w:r w:rsidR="006D7611">
        <w:rPr>
          <w:rFonts w:eastAsia="Times New Roman"/>
        </w:rPr>
        <w:t xml:space="preserve">men </w:t>
      </w:r>
      <w:r w:rsidR="008E58EA">
        <w:rPr>
          <w:rFonts w:eastAsia="Times New Roman"/>
        </w:rPr>
        <w:t xml:space="preserve">utvecklar och nyanserar </w:t>
      </w:r>
      <w:r w:rsidR="00AB37A2">
        <w:rPr>
          <w:rFonts w:eastAsia="Times New Roman"/>
        </w:rPr>
        <w:t xml:space="preserve">uppdelningen i </w:t>
      </w:r>
      <w:r w:rsidR="008E58EA">
        <w:rPr>
          <w:rFonts w:eastAsia="Times New Roman"/>
        </w:rPr>
        <w:t>avse</w:t>
      </w:r>
      <w:r w:rsidR="00AB37A2">
        <w:rPr>
          <w:rFonts w:eastAsia="Times New Roman"/>
        </w:rPr>
        <w:t>värd grad. Tre punkter är centr</w:t>
      </w:r>
      <w:r w:rsidR="008E58EA">
        <w:rPr>
          <w:rFonts w:eastAsia="Times New Roman"/>
        </w:rPr>
        <w:t xml:space="preserve">ala. </w:t>
      </w:r>
      <w:r w:rsidR="0030339B">
        <w:rPr>
          <w:rFonts w:eastAsia="Times New Roman"/>
        </w:rPr>
        <w:t xml:space="preserve">För det första beskrivs aggregering och konfigurering nu som två typer av </w:t>
      </w:r>
      <w:r w:rsidR="0030339B" w:rsidRPr="0030339B">
        <w:rPr>
          <w:rFonts w:eastAsia="Times New Roman"/>
          <w:i/>
        </w:rPr>
        <w:t>logik</w:t>
      </w:r>
      <w:r w:rsidR="0030339B">
        <w:rPr>
          <w:rFonts w:eastAsia="Times New Roman"/>
        </w:rPr>
        <w:t xml:space="preserve">. </w:t>
      </w:r>
      <w:r w:rsidR="007C5156">
        <w:rPr>
          <w:rFonts w:eastAsia="Times New Roman"/>
        </w:rPr>
        <w:t xml:space="preserve">Den aggregerande logiken dominerar inom </w:t>
      </w:r>
      <w:r w:rsidR="007C5156" w:rsidRPr="007C5156">
        <w:rPr>
          <w:rFonts w:eastAsia="Times New Roman"/>
        </w:rPr>
        <w:t>kvantitativ</w:t>
      </w:r>
      <w:r w:rsidR="00DD17D2">
        <w:rPr>
          <w:rFonts w:eastAsia="Times New Roman"/>
        </w:rPr>
        <w:t>a,</w:t>
      </w:r>
      <w:r w:rsidR="007C5156">
        <w:rPr>
          <w:rFonts w:eastAsia="Times New Roman"/>
        </w:rPr>
        <w:t xml:space="preserve"> den konfigurerande inom kvalitativa ansatser, </w:t>
      </w:r>
      <w:r w:rsidR="00DD17D2">
        <w:rPr>
          <w:rFonts w:eastAsia="Times New Roman"/>
        </w:rPr>
        <w:t xml:space="preserve">men varken metaanalys, meta-etnografi eller någon annan metod kan helt och hållet inordnas under någondera logiken. </w:t>
      </w:r>
      <w:r w:rsidR="00CB4037">
        <w:rPr>
          <w:rFonts w:eastAsia="Times New Roman"/>
        </w:rPr>
        <w:t xml:space="preserve">Metoder för </w:t>
      </w:r>
      <w:r w:rsidR="00CB4037" w:rsidRPr="00CB4037">
        <w:rPr>
          <w:rFonts w:eastAsia="Times New Roman"/>
        </w:rPr>
        <w:t xml:space="preserve">kvalitativ </w:t>
      </w:r>
      <w:r w:rsidR="00CB4037">
        <w:rPr>
          <w:rFonts w:eastAsia="Times New Roman"/>
        </w:rPr>
        <w:t xml:space="preserve">syntes kan ha aggregerande drag, och vice versa. För det andra </w:t>
      </w:r>
      <w:r w:rsidR="004F6FD6">
        <w:rPr>
          <w:rFonts w:eastAsia="Times New Roman"/>
        </w:rPr>
        <w:t xml:space="preserve">är det missvisande att tala om tolkande studier på det sätt Noblit och Hare gör. </w:t>
      </w:r>
      <w:r w:rsidR="007D7057">
        <w:rPr>
          <w:rFonts w:eastAsia="Times New Roman"/>
        </w:rPr>
        <w:t xml:space="preserve">Tolkning av data, metodologiska resonemang och annat </w:t>
      </w:r>
      <w:r w:rsidR="007D7057" w:rsidRPr="007D7057">
        <w:rPr>
          <w:rFonts w:eastAsia="Times New Roman"/>
        </w:rPr>
        <w:t xml:space="preserve">material </w:t>
      </w:r>
      <w:r w:rsidR="007D7057">
        <w:rPr>
          <w:rFonts w:eastAsia="Times New Roman"/>
        </w:rPr>
        <w:t>är en nödvändig och ofrånkomlig komponent av alla former av syntes. I synnerhet måste man, för att kunna relatera in</w:t>
      </w:r>
      <w:r w:rsidR="00655707">
        <w:rPr>
          <w:rFonts w:eastAsia="Times New Roman"/>
        </w:rPr>
        <w:t>n</w:t>
      </w:r>
      <w:r w:rsidR="007D7057">
        <w:rPr>
          <w:rFonts w:eastAsia="Times New Roman"/>
        </w:rPr>
        <w:t xml:space="preserve">ehållet i olika studier till varandra, avgöra vilken grad av homo- respektive heterogenitet som råder i materialet. Detta är alltid en fråga om bedömningar, tolkning. För det tredje </w:t>
      </w:r>
      <w:r w:rsidR="00296821">
        <w:rPr>
          <w:rFonts w:eastAsia="Times New Roman"/>
        </w:rPr>
        <w:t xml:space="preserve">är avståndet från </w:t>
      </w:r>
      <w:r w:rsidR="00296821">
        <w:rPr>
          <w:rFonts w:eastAsia="Times New Roman"/>
        </w:rPr>
        <w:lastRenderedPageBreak/>
        <w:t xml:space="preserve">resultat redovisade i </w:t>
      </w:r>
      <w:r w:rsidR="004070D3">
        <w:rPr>
          <w:rFonts w:eastAsia="Times New Roman"/>
        </w:rPr>
        <w:t>primä</w:t>
      </w:r>
      <w:r w:rsidR="00655707">
        <w:rPr>
          <w:rFonts w:eastAsia="Times New Roman"/>
        </w:rPr>
        <w:t>r</w:t>
      </w:r>
      <w:r w:rsidR="00296821">
        <w:rPr>
          <w:rFonts w:eastAsia="Times New Roman"/>
        </w:rPr>
        <w:t xml:space="preserve">studier till de slutsatser som dras i en syntes av </w:t>
      </w:r>
      <w:r w:rsidR="004070D3">
        <w:rPr>
          <w:rFonts w:eastAsia="Times New Roman"/>
        </w:rPr>
        <w:t>dem</w:t>
      </w:r>
      <w:r w:rsidR="00296821">
        <w:rPr>
          <w:rFonts w:eastAsia="Times New Roman"/>
        </w:rPr>
        <w:t xml:space="preserve"> större vid konfigurering än vid aggregering. Vid konfigurering av innehållet i studier som läggs sida vid sida länkas de ofta samman </w:t>
      </w:r>
      <w:r w:rsidR="00AA1668">
        <w:rPr>
          <w:rFonts w:eastAsia="Times New Roman"/>
        </w:rPr>
        <w:t xml:space="preserve">med hjälp av begrepp </w:t>
      </w:r>
      <w:r w:rsidR="005326F3">
        <w:rPr>
          <w:rFonts w:eastAsia="Times New Roman"/>
        </w:rPr>
        <w:t xml:space="preserve">och </w:t>
      </w:r>
      <w:r w:rsidR="00AA1668">
        <w:rPr>
          <w:rFonts w:eastAsia="Times New Roman"/>
        </w:rPr>
        <w:t>principer</w:t>
      </w:r>
      <w:r w:rsidR="00296821">
        <w:rPr>
          <w:rFonts w:eastAsia="Times New Roman"/>
        </w:rPr>
        <w:t xml:space="preserve"> som inte </w:t>
      </w:r>
      <w:r w:rsidR="005326F3">
        <w:rPr>
          <w:rFonts w:eastAsia="Times New Roman"/>
        </w:rPr>
        <w:t xml:space="preserve">diskuteras </w:t>
      </w:r>
      <w:r w:rsidR="00296821">
        <w:rPr>
          <w:rFonts w:eastAsia="Times New Roman"/>
        </w:rPr>
        <w:t>i de enskilda studiern</w:t>
      </w:r>
      <w:r w:rsidR="005326F3">
        <w:rPr>
          <w:rFonts w:eastAsia="Times New Roman"/>
        </w:rPr>
        <w:t xml:space="preserve">a, </w:t>
      </w:r>
      <w:r w:rsidR="004070D3">
        <w:rPr>
          <w:rFonts w:eastAsia="Times New Roman"/>
        </w:rPr>
        <w:t xml:space="preserve">men </w:t>
      </w:r>
      <w:r w:rsidR="005326F3">
        <w:rPr>
          <w:rFonts w:eastAsia="Times New Roman"/>
        </w:rPr>
        <w:t xml:space="preserve">behandlas i annan litteratur. </w:t>
      </w:r>
      <w:r w:rsidR="00317D6C">
        <w:rPr>
          <w:rFonts w:eastAsia="Times New Roman"/>
        </w:rPr>
        <w:t xml:space="preserve">Tillvägagångssättet är enligt </w:t>
      </w:r>
      <w:r w:rsidR="00AA1668">
        <w:rPr>
          <w:rFonts w:eastAsia="Times New Roman"/>
        </w:rPr>
        <w:t xml:space="preserve">Sandelowski och hennes kolleger </w:t>
      </w:r>
      <w:r w:rsidR="00317D6C">
        <w:rPr>
          <w:rFonts w:eastAsia="Times New Roman"/>
        </w:rPr>
        <w:t>varken deduktivt eller rent induktivt, men kan lämpligen beskrivas</w:t>
      </w:r>
      <w:r w:rsidR="00AA1668">
        <w:rPr>
          <w:rFonts w:eastAsia="Times New Roman"/>
        </w:rPr>
        <w:t xml:space="preserve"> i termer av abduktion:</w:t>
      </w:r>
    </w:p>
    <w:p w14:paraId="257949DD" w14:textId="77777777" w:rsidR="00AA1668" w:rsidRDefault="00AA1668" w:rsidP="00FA0588">
      <w:pPr>
        <w:rPr>
          <w:rFonts w:eastAsia="Times New Roman"/>
        </w:rPr>
      </w:pPr>
    </w:p>
    <w:p w14:paraId="39135FC1" w14:textId="77777777" w:rsidR="00443690" w:rsidRDefault="00207BAF" w:rsidP="00207BAF">
      <w:pPr>
        <w:pStyle w:val="Cit"/>
      </w:pPr>
      <w:r w:rsidRPr="00207BAF">
        <w:t>The logic of configuration syntheses is</w:t>
      </w:r>
      <w:r>
        <w:t xml:space="preserve"> </w:t>
      </w:r>
      <w:r w:rsidRPr="00207BAF">
        <w:t>the logi</w:t>
      </w:r>
      <w:r>
        <w:t xml:space="preserve">c of abductive reasoning, which... </w:t>
      </w:r>
      <w:r w:rsidRPr="00207BAF">
        <w:t>begins when reviewers intuit that a set of seemingly unrelated findings are in fact</w:t>
      </w:r>
      <w:r>
        <w:t xml:space="preserve"> </w:t>
      </w:r>
      <w:r w:rsidRPr="00207BAF">
        <w:t>related and ends with models of these re</w:t>
      </w:r>
      <w:r>
        <w:t xml:space="preserve">lationships that can themselves </w:t>
      </w:r>
      <w:r w:rsidRPr="00207BAF">
        <w:t>be formally tested. The</w:t>
      </w:r>
      <w:r>
        <w:t xml:space="preserve"> </w:t>
      </w:r>
      <w:r w:rsidRPr="00207BAF">
        <w:t>abductive reasoning at the heart of configuration syntheses c</w:t>
      </w:r>
      <w:r>
        <w:t xml:space="preserve">aptures the intuitive and often </w:t>
      </w:r>
      <w:r w:rsidRPr="00207BAF">
        <w:t>inexpressible leaps of imagination that characterize them.</w:t>
      </w:r>
      <w:r w:rsidR="00AA1668">
        <w:t xml:space="preserve"> </w:t>
      </w:r>
      <w:r w:rsidR="00BA61E1">
        <w:t>(Sandelowski, Voils, Leeman</w:t>
      </w:r>
      <w:r w:rsidR="00BA61E1" w:rsidRPr="00A817C9">
        <w:t xml:space="preserve"> </w:t>
      </w:r>
      <w:r w:rsidR="00BA61E1">
        <w:t>&amp; Crandlee 2012, 326)</w:t>
      </w:r>
    </w:p>
    <w:p w14:paraId="374D38FE" w14:textId="77777777" w:rsidR="00443690" w:rsidRDefault="00443690" w:rsidP="00FA0588">
      <w:pPr>
        <w:rPr>
          <w:rFonts w:eastAsia="Times New Roman"/>
        </w:rPr>
      </w:pPr>
    </w:p>
    <w:p w14:paraId="289045DC" w14:textId="77777777" w:rsidR="00FA0588" w:rsidRDefault="005326F3" w:rsidP="00FA0588">
      <w:pPr>
        <w:rPr>
          <w:rFonts w:eastAsia="Times New Roman"/>
        </w:rPr>
      </w:pPr>
      <w:r>
        <w:rPr>
          <w:rFonts w:eastAsia="Times New Roman"/>
        </w:rPr>
        <w:t>Konfigurativa steg i synteser bygger, uttryckt</w:t>
      </w:r>
      <w:r w:rsidR="00E40864">
        <w:rPr>
          <w:rFonts w:eastAsia="Times New Roman"/>
        </w:rPr>
        <w:t xml:space="preserve"> på annat sätt</w:t>
      </w:r>
      <w:r>
        <w:rPr>
          <w:rFonts w:eastAsia="Times New Roman"/>
        </w:rPr>
        <w:t xml:space="preserve">, i högre grad än aggregativa på översiktsförfattarnas förtrogenhet med det ämne som behandlas, och på deras omdöme och kreativitet. </w:t>
      </w:r>
      <w:r w:rsidR="00EB08B1">
        <w:rPr>
          <w:rFonts w:eastAsia="Times New Roman"/>
        </w:rPr>
        <w:t>Sådana steg</w:t>
      </w:r>
      <w:r>
        <w:rPr>
          <w:rFonts w:eastAsia="Times New Roman"/>
        </w:rPr>
        <w:t xml:space="preserve"> </w:t>
      </w:r>
      <w:r w:rsidR="00AC6902">
        <w:rPr>
          <w:rFonts w:eastAsia="Times New Roman"/>
        </w:rPr>
        <w:t>låter sig inte formaliseras i samma utsträckning som aggregativa.</w:t>
      </w:r>
    </w:p>
    <w:p w14:paraId="41D4DDBE" w14:textId="77777777" w:rsidR="00AC6902" w:rsidRDefault="00AC6902" w:rsidP="00FA0588">
      <w:pPr>
        <w:rPr>
          <w:rFonts w:eastAsia="Times New Roman"/>
        </w:rPr>
      </w:pPr>
    </w:p>
    <w:p w14:paraId="1E4B8D2E" w14:textId="77777777" w:rsidR="00AC6902" w:rsidRDefault="00EF5FA4" w:rsidP="00FA0588">
      <w:r>
        <w:rPr>
          <w:rFonts w:eastAsia="Times New Roman"/>
        </w:rPr>
        <w:t xml:space="preserve">I artikeln ingår en tabell i vilken drag karakteristiska för de två typerna av logik ställs upp schematiskt. </w:t>
      </w:r>
      <w:r w:rsidR="00DD0B70">
        <w:rPr>
          <w:rFonts w:eastAsia="Times New Roman"/>
        </w:rPr>
        <w:t>I en aggregativ logik fokuseras</w:t>
      </w:r>
      <w:r>
        <w:rPr>
          <w:rFonts w:eastAsia="Times New Roman"/>
        </w:rPr>
        <w:t xml:space="preserve"> studieresultat som tematiskt liknar varandra. Relationen mellan sådana resultat är “confirmatory” och kännet</w:t>
      </w:r>
      <w:r w:rsidR="00655707">
        <w:rPr>
          <w:rFonts w:eastAsia="Times New Roman"/>
        </w:rPr>
        <w:t>e</w:t>
      </w:r>
      <w:r>
        <w:rPr>
          <w:rFonts w:eastAsia="Times New Roman"/>
        </w:rPr>
        <w:t xml:space="preserve">cknas av upprepning. </w:t>
      </w:r>
      <w:r w:rsidR="00DD0B70">
        <w:rPr>
          <w:rFonts w:eastAsia="Times New Roman"/>
        </w:rPr>
        <w:t xml:space="preserve">Processen går ut på att lägga samman </w:t>
      </w:r>
      <w:r w:rsidR="00DD0B70" w:rsidRPr="00DD0B70">
        <w:rPr>
          <w:rFonts w:eastAsia="Times New Roman"/>
        </w:rPr>
        <w:t xml:space="preserve">data </w:t>
      </w:r>
      <w:r w:rsidR="00DD0B70">
        <w:rPr>
          <w:rFonts w:eastAsia="Times New Roman"/>
        </w:rPr>
        <w:t xml:space="preserve">för att finna genomsnittsvärden; resultatet är en “pooled” sammanfattning. </w:t>
      </w:r>
      <w:r w:rsidR="00EB04F3">
        <w:rPr>
          <w:rFonts w:eastAsia="Times New Roman"/>
        </w:rPr>
        <w:t>D</w:t>
      </w:r>
      <w:r w:rsidR="00DD0B70">
        <w:rPr>
          <w:rFonts w:eastAsia="Times New Roman"/>
        </w:rPr>
        <w:t xml:space="preserve">en konfigurerande </w:t>
      </w:r>
      <w:r w:rsidR="00EB04F3">
        <w:rPr>
          <w:rFonts w:eastAsia="Times New Roman"/>
        </w:rPr>
        <w:t xml:space="preserve">typen av </w:t>
      </w:r>
      <w:r w:rsidR="00DD0B70">
        <w:rPr>
          <w:rFonts w:eastAsia="Times New Roman"/>
        </w:rPr>
        <w:t xml:space="preserve">logik </w:t>
      </w:r>
      <w:r w:rsidR="00EB04F3">
        <w:rPr>
          <w:rFonts w:eastAsia="Times New Roman"/>
        </w:rPr>
        <w:t>fokuserar studieresultat som tematiskt skiljer sig från varandra, och vilkas inbördes relation kännetecknas a</w:t>
      </w:r>
      <w:r w:rsidR="00870D0B">
        <w:rPr>
          <w:rFonts w:eastAsia="Times New Roman"/>
        </w:rPr>
        <w:t>v komplementaritet. Processen gå</w:t>
      </w:r>
      <w:r w:rsidR="00EB04F3">
        <w:rPr>
          <w:rFonts w:eastAsia="Times New Roman"/>
        </w:rPr>
        <w:t xml:space="preserve">r ut på att länka dem samman, och syntesens resultat är en teori eller modell </w:t>
      </w:r>
      <w:r w:rsidR="00870D0B">
        <w:rPr>
          <w:rFonts w:eastAsia="Times New Roman"/>
        </w:rPr>
        <w:t>(</w:t>
      </w:r>
      <w:r w:rsidR="00EB04F3">
        <w:t>Sandelowski, Voils, Leeman</w:t>
      </w:r>
      <w:r w:rsidR="00EB04F3" w:rsidRPr="00A817C9">
        <w:t xml:space="preserve"> </w:t>
      </w:r>
      <w:r w:rsidR="00EB04F3">
        <w:t>&amp; Crandlee 2012, 323).</w:t>
      </w:r>
    </w:p>
    <w:p w14:paraId="5373D84E" w14:textId="77777777" w:rsidR="00EB04F3" w:rsidRDefault="00EB04F3" w:rsidP="00FA0588"/>
    <w:p w14:paraId="1E3E03D3" w14:textId="77777777" w:rsidR="00EB04F3" w:rsidRDefault="00B52B87" w:rsidP="00FA0588">
      <w:pPr>
        <w:rPr>
          <w:rFonts w:eastAsia="Times New Roman"/>
        </w:rPr>
      </w:pPr>
      <w:r>
        <w:t xml:space="preserve">Begreppen aggregering och konfigurering är ytterst användbara som redskap för att förstå </w:t>
      </w:r>
      <w:r w:rsidR="00EE14E6">
        <w:t xml:space="preserve">hur </w:t>
      </w:r>
      <w:r>
        <w:t>synteser</w:t>
      </w:r>
      <w:r w:rsidR="00EE14E6">
        <w:t xml:space="preserve"> konstrueras</w:t>
      </w:r>
      <w:r>
        <w:t xml:space="preserve">. De som har gjort mest för att påvisa begreppsparets analytiska värde är David Gough och hans kolleger vid </w:t>
      </w:r>
      <w:r>
        <w:rPr>
          <w:rFonts w:eastAsia="Times New Roman"/>
        </w:rPr>
        <w:t xml:space="preserve">EPPI-Centre, som har gjort bruk av </w:t>
      </w:r>
      <w:r w:rsidR="00261B9C">
        <w:rPr>
          <w:rFonts w:eastAsia="Times New Roman"/>
        </w:rPr>
        <w:t>begreppen</w:t>
      </w:r>
      <w:r>
        <w:rPr>
          <w:rFonts w:eastAsia="Times New Roman"/>
        </w:rPr>
        <w:t xml:space="preserve"> i en lång rad publikationer, däribland en antologi som</w:t>
      </w:r>
      <w:r w:rsidR="00261B9C">
        <w:rPr>
          <w:rFonts w:eastAsia="Times New Roman"/>
        </w:rPr>
        <w:t xml:space="preserve"> </w:t>
      </w:r>
      <w:r>
        <w:rPr>
          <w:rFonts w:eastAsia="Times New Roman"/>
        </w:rPr>
        <w:t xml:space="preserve">redan kan </w:t>
      </w:r>
      <w:r w:rsidR="00EB1E9D">
        <w:rPr>
          <w:rFonts w:eastAsia="Times New Roman"/>
        </w:rPr>
        <w:t xml:space="preserve">betraktas som ett standardverk </w:t>
      </w:r>
      <w:r w:rsidR="00EE14E6">
        <w:rPr>
          <w:rFonts w:eastAsia="Times New Roman"/>
        </w:rPr>
        <w:t xml:space="preserve">inom research synthesis </w:t>
      </w:r>
      <w:r w:rsidR="00EB1E9D">
        <w:rPr>
          <w:rFonts w:eastAsia="Times New Roman"/>
        </w:rPr>
        <w:t>(Gough, Oliver</w:t>
      </w:r>
      <w:r w:rsidR="00261B9C">
        <w:rPr>
          <w:rFonts w:eastAsia="Times New Roman"/>
        </w:rPr>
        <w:t xml:space="preserve"> &amp; Thomas 2012</w:t>
      </w:r>
      <w:r w:rsidR="00364C04">
        <w:rPr>
          <w:rFonts w:eastAsia="Times New Roman"/>
        </w:rPr>
        <w:t>a</w:t>
      </w:r>
      <w:r w:rsidR="00EB1E9D">
        <w:rPr>
          <w:rFonts w:eastAsia="Times New Roman"/>
        </w:rPr>
        <w:t>).</w:t>
      </w:r>
      <w:r w:rsidR="00261B9C">
        <w:rPr>
          <w:rStyle w:val="Fotnotsreferens"/>
          <w:rFonts w:eastAsia="Times New Roman"/>
        </w:rPr>
        <w:footnoteReference w:id="2"/>
      </w:r>
      <w:r w:rsidR="00EB1E9D">
        <w:rPr>
          <w:rFonts w:eastAsia="Times New Roman"/>
        </w:rPr>
        <w:t xml:space="preserve"> </w:t>
      </w:r>
      <w:r w:rsidR="00F81C91">
        <w:rPr>
          <w:rFonts w:eastAsia="Times New Roman"/>
        </w:rPr>
        <w:t xml:space="preserve">Gough och hans kolleger ger Sandelowski-gruppens </w:t>
      </w:r>
      <w:r w:rsidR="00F81C91">
        <w:rPr>
          <w:rFonts w:eastAsia="Times New Roman"/>
        </w:rPr>
        <w:lastRenderedPageBreak/>
        <w:t>begreppsapparat en central plats i sin framställning</w:t>
      </w:r>
      <w:r w:rsidR="00261B9C">
        <w:rPr>
          <w:rFonts w:eastAsia="Times New Roman"/>
        </w:rPr>
        <w:t>,</w:t>
      </w:r>
      <w:r w:rsidR="00F81C91">
        <w:rPr>
          <w:rFonts w:eastAsia="Times New Roman"/>
        </w:rPr>
        <w:t xml:space="preserve"> </w:t>
      </w:r>
      <w:r w:rsidR="00261B9C">
        <w:rPr>
          <w:rFonts w:eastAsia="Times New Roman"/>
        </w:rPr>
        <w:t>s</w:t>
      </w:r>
      <w:r w:rsidR="00F81C91">
        <w:rPr>
          <w:rFonts w:eastAsia="Times New Roman"/>
        </w:rPr>
        <w:t xml:space="preserve">om </w:t>
      </w:r>
      <w:r w:rsidR="00261B9C">
        <w:rPr>
          <w:rFonts w:eastAsia="Times New Roman"/>
        </w:rPr>
        <w:t xml:space="preserve">behandlar </w:t>
      </w:r>
      <w:r w:rsidR="00F81C91">
        <w:rPr>
          <w:rFonts w:eastAsia="Times New Roman"/>
        </w:rPr>
        <w:t xml:space="preserve">en mångfald aspekter </w:t>
      </w:r>
      <w:r w:rsidR="004E2C90">
        <w:rPr>
          <w:rFonts w:eastAsia="Times New Roman"/>
        </w:rPr>
        <w:t>av forskningsöversikter, samtidigt som de preciserar och nyanserar den på flera punkter.</w:t>
      </w:r>
    </w:p>
    <w:p w14:paraId="4C25872D" w14:textId="77777777" w:rsidR="004E2C90" w:rsidRDefault="004E2C90" w:rsidP="00FA0588">
      <w:pPr>
        <w:rPr>
          <w:rFonts w:eastAsia="Times New Roman"/>
        </w:rPr>
      </w:pPr>
    </w:p>
    <w:p w14:paraId="56BF94CD" w14:textId="77777777" w:rsidR="004E2C90" w:rsidRDefault="0096535F" w:rsidP="00FA0588">
      <w:pPr>
        <w:rPr>
          <w:rFonts w:eastAsia="Times New Roman"/>
        </w:rPr>
      </w:pPr>
      <w:r>
        <w:rPr>
          <w:rFonts w:eastAsia="Times New Roman"/>
        </w:rPr>
        <w:t xml:space="preserve">En av dessa punkter gäller induktion och deduktion. </w:t>
      </w:r>
      <w:r w:rsidR="00CB6C7B">
        <w:rPr>
          <w:rFonts w:eastAsia="Times New Roman"/>
        </w:rPr>
        <w:t xml:space="preserve">Abduktion </w:t>
      </w:r>
      <w:r>
        <w:rPr>
          <w:rFonts w:eastAsia="Times New Roman"/>
        </w:rPr>
        <w:t>lämnar Gou</w:t>
      </w:r>
      <w:r w:rsidR="00CB6C7B">
        <w:rPr>
          <w:rFonts w:eastAsia="Times New Roman"/>
        </w:rPr>
        <w:t>gh och hans medarbe</w:t>
      </w:r>
      <w:r w:rsidR="0084078C">
        <w:rPr>
          <w:rFonts w:eastAsia="Times New Roman"/>
        </w:rPr>
        <w:t>tare därhän, till förmån för dessa</w:t>
      </w:r>
      <w:r w:rsidR="00CB6C7B">
        <w:rPr>
          <w:rFonts w:eastAsia="Times New Roman"/>
        </w:rPr>
        <w:t xml:space="preserve"> </w:t>
      </w:r>
      <w:r w:rsidR="0084078C">
        <w:rPr>
          <w:rFonts w:eastAsia="Times New Roman"/>
        </w:rPr>
        <w:t xml:space="preserve">mer </w:t>
      </w:r>
      <w:r w:rsidR="00CB6C7B">
        <w:rPr>
          <w:rFonts w:eastAsia="Times New Roman"/>
        </w:rPr>
        <w:t xml:space="preserve">väletablerade </w:t>
      </w:r>
      <w:r w:rsidR="0084078C">
        <w:rPr>
          <w:rFonts w:eastAsia="Times New Roman"/>
        </w:rPr>
        <w:t>principer</w:t>
      </w:r>
      <w:r w:rsidR="00CB6C7B">
        <w:rPr>
          <w:rFonts w:eastAsia="Times New Roman"/>
        </w:rPr>
        <w:t xml:space="preserve">, som ofta </w:t>
      </w:r>
      <w:r w:rsidR="00DB188B">
        <w:rPr>
          <w:rFonts w:eastAsia="Times New Roman"/>
        </w:rPr>
        <w:t xml:space="preserve">används för att beskriva </w:t>
      </w:r>
      <w:r w:rsidR="00833532">
        <w:rPr>
          <w:rFonts w:eastAsia="Times New Roman"/>
        </w:rPr>
        <w:t xml:space="preserve">inriktningar inom </w:t>
      </w:r>
      <w:r w:rsidR="00CB6C7B">
        <w:rPr>
          <w:rFonts w:eastAsia="Times New Roman"/>
        </w:rPr>
        <w:t xml:space="preserve">research synthesis. </w:t>
      </w:r>
      <w:r w:rsidR="00DB188B">
        <w:rPr>
          <w:rFonts w:eastAsia="Times New Roman"/>
        </w:rPr>
        <w:t xml:space="preserve">Konfigurativ syntes beskrivs följaktligen, som kvalitativa metoder </w:t>
      </w:r>
      <w:r w:rsidR="00833532">
        <w:rPr>
          <w:rFonts w:eastAsia="Times New Roman"/>
        </w:rPr>
        <w:t>i allmänhet brukar, som en induktiv ansats, “aiming to generate and explore theories“ (Gough &amp; Thomas 2012</w:t>
      </w:r>
      <w:r w:rsidR="0084078C">
        <w:rPr>
          <w:rFonts w:eastAsia="Times New Roman"/>
        </w:rPr>
        <w:t>a</w:t>
      </w:r>
      <w:r w:rsidR="00833532">
        <w:rPr>
          <w:rFonts w:eastAsia="Times New Roman"/>
        </w:rPr>
        <w:t xml:space="preserve">, 52). </w:t>
      </w:r>
      <w:r w:rsidR="00B6086D">
        <w:rPr>
          <w:rFonts w:eastAsia="Times New Roman"/>
        </w:rPr>
        <w:t xml:space="preserve">Heterogenitet mellan de studier som ingår är en förutsättning för att konfigurering ska </w:t>
      </w:r>
      <w:r w:rsidR="00844C43">
        <w:rPr>
          <w:rFonts w:eastAsia="Times New Roman"/>
        </w:rPr>
        <w:t xml:space="preserve">kunna ske </w:t>
      </w:r>
      <w:r w:rsidR="00B6086D">
        <w:rPr>
          <w:rFonts w:eastAsia="Times New Roman"/>
        </w:rPr>
        <w:t xml:space="preserve">(Ibid., 55; </w:t>
      </w:r>
      <w:r w:rsidR="00015318">
        <w:rPr>
          <w:rFonts w:eastAsia="Times New Roman"/>
        </w:rPr>
        <w:t xml:space="preserve">Thomas, Harden &amp; Newman 2012, 182). </w:t>
      </w:r>
      <w:r w:rsidR="00F214EC">
        <w:rPr>
          <w:rFonts w:eastAsia="Times New Roman"/>
        </w:rPr>
        <w:t xml:space="preserve">Aggregativ syntes kan istället betraktas som en deduktiv övning, syftande till att testa hypotesen att en viss intervention ger ett önskat utfall, alternativt är mer effektiv än en annan intervention. </w:t>
      </w:r>
      <w:r w:rsidR="00BF427A">
        <w:rPr>
          <w:rFonts w:eastAsia="Times New Roman"/>
        </w:rPr>
        <w:t xml:space="preserve">Aggregering, och den precision sådana synteser kan ge, förutsätter homogenitet i det </w:t>
      </w:r>
      <w:r w:rsidR="00BF427A" w:rsidRPr="00BF427A">
        <w:rPr>
          <w:rFonts w:eastAsia="Times New Roman"/>
        </w:rPr>
        <w:t xml:space="preserve">material </w:t>
      </w:r>
      <w:r w:rsidR="00BF427A">
        <w:rPr>
          <w:rFonts w:eastAsia="Times New Roman"/>
        </w:rPr>
        <w:t xml:space="preserve">som ingår </w:t>
      </w:r>
      <w:r w:rsidR="00F214EC">
        <w:rPr>
          <w:rFonts w:eastAsia="Times New Roman"/>
        </w:rPr>
        <w:t>(Gough &amp; Thomas 2012</w:t>
      </w:r>
      <w:r w:rsidR="00F227D5">
        <w:rPr>
          <w:rFonts w:eastAsia="Times New Roman"/>
        </w:rPr>
        <w:t>a</w:t>
      </w:r>
      <w:r w:rsidR="00F214EC">
        <w:rPr>
          <w:rFonts w:eastAsia="Times New Roman"/>
        </w:rPr>
        <w:t>, 52</w:t>
      </w:r>
      <w:r w:rsidR="00BF427A">
        <w:rPr>
          <w:rFonts w:eastAsia="Times New Roman"/>
        </w:rPr>
        <w:t>-53; Thomas, Harden &amp; Newman 2012, 182).</w:t>
      </w:r>
    </w:p>
    <w:p w14:paraId="0EBC52F1" w14:textId="77777777" w:rsidR="00BF427A" w:rsidRDefault="00BF427A" w:rsidP="00FA0588">
      <w:pPr>
        <w:rPr>
          <w:rFonts w:eastAsia="Times New Roman"/>
        </w:rPr>
      </w:pPr>
    </w:p>
    <w:p w14:paraId="69C6B28D" w14:textId="77777777" w:rsidR="00BF427A" w:rsidRDefault="000D1AC9" w:rsidP="00FA0588">
      <w:pPr>
        <w:rPr>
          <w:rFonts w:eastAsia="Times New Roman"/>
        </w:rPr>
      </w:pPr>
      <w:r>
        <w:rPr>
          <w:rFonts w:eastAsia="Times New Roman"/>
        </w:rPr>
        <w:t xml:space="preserve">En annan punkt gäller tolkning. </w:t>
      </w:r>
      <w:r w:rsidR="008B144A">
        <w:rPr>
          <w:rFonts w:eastAsia="Times New Roman"/>
        </w:rPr>
        <w:t xml:space="preserve">Liksom Sandelowski-gruppen betonar Gough och hans medarbetare att </w:t>
      </w:r>
      <w:r w:rsidR="00836E0F">
        <w:rPr>
          <w:rFonts w:eastAsia="Times New Roman"/>
        </w:rPr>
        <w:t xml:space="preserve">tolkning </w:t>
      </w:r>
      <w:r w:rsidR="008B144A">
        <w:rPr>
          <w:rFonts w:eastAsia="Times New Roman"/>
        </w:rPr>
        <w:t xml:space="preserve">alltid ingår i synteser. </w:t>
      </w:r>
      <w:r w:rsidR="00836E0F">
        <w:rPr>
          <w:rFonts w:eastAsia="Times New Roman"/>
        </w:rPr>
        <w:t xml:space="preserve">Den omfattning i vilken tolkning krävs varierar dock mellan aggregativ </w:t>
      </w:r>
      <w:r w:rsidR="001062A8">
        <w:rPr>
          <w:rFonts w:eastAsia="Times New Roman"/>
        </w:rPr>
        <w:t xml:space="preserve">och </w:t>
      </w:r>
      <w:r w:rsidR="00836E0F">
        <w:rPr>
          <w:rFonts w:eastAsia="Times New Roman"/>
        </w:rPr>
        <w:t>konfigurativ syntes, hävdar de</w:t>
      </w:r>
      <w:r w:rsidR="001062A8">
        <w:rPr>
          <w:rFonts w:eastAsia="Times New Roman"/>
        </w:rPr>
        <w:t xml:space="preserve">, och de tolkande </w:t>
      </w:r>
      <w:r w:rsidR="008B144A">
        <w:rPr>
          <w:rFonts w:eastAsia="Times New Roman"/>
        </w:rPr>
        <w:t>moment</w:t>
      </w:r>
      <w:r w:rsidR="001062A8">
        <w:rPr>
          <w:rFonts w:eastAsia="Times New Roman"/>
        </w:rPr>
        <w:t>en</w:t>
      </w:r>
      <w:r w:rsidR="008B144A">
        <w:rPr>
          <w:rFonts w:eastAsia="Times New Roman"/>
        </w:rPr>
        <w:t xml:space="preserve"> </w:t>
      </w:r>
      <w:r w:rsidR="00F227D5">
        <w:rPr>
          <w:rFonts w:eastAsia="Times New Roman"/>
        </w:rPr>
        <w:t>ingår</w:t>
      </w:r>
      <w:r w:rsidR="008B144A">
        <w:rPr>
          <w:rFonts w:eastAsia="Times New Roman"/>
        </w:rPr>
        <w:t xml:space="preserve"> </w:t>
      </w:r>
      <w:r w:rsidR="001062A8">
        <w:rPr>
          <w:rFonts w:eastAsia="Times New Roman"/>
        </w:rPr>
        <w:t>i olika stadier av processen. I aggregativa synteser krävs tolkningar huvudsakligen före och efter själva syntesen</w:t>
      </w:r>
      <w:r w:rsidR="00B17D9F">
        <w:rPr>
          <w:rFonts w:eastAsia="Times New Roman"/>
        </w:rPr>
        <w:t>, i formulerandet av en frågeställning och bedömningen av utfallets betydelse</w:t>
      </w:r>
      <w:r w:rsidR="001062A8">
        <w:rPr>
          <w:rFonts w:eastAsia="Times New Roman"/>
        </w:rPr>
        <w:t xml:space="preserve">. Liksom i all </w:t>
      </w:r>
      <w:r w:rsidR="001062A8" w:rsidRPr="001062A8">
        <w:rPr>
          <w:rFonts w:eastAsia="Times New Roman"/>
        </w:rPr>
        <w:t xml:space="preserve">forskning </w:t>
      </w:r>
      <w:r w:rsidR="001062A8">
        <w:rPr>
          <w:rFonts w:eastAsia="Times New Roman"/>
        </w:rPr>
        <w:t xml:space="preserve">vilar insamling och behandling av </w:t>
      </w:r>
      <w:r w:rsidR="001062A8" w:rsidRPr="001062A8">
        <w:rPr>
          <w:rFonts w:eastAsia="Times New Roman"/>
        </w:rPr>
        <w:t xml:space="preserve">data </w:t>
      </w:r>
      <w:r w:rsidR="001062A8">
        <w:rPr>
          <w:rFonts w:eastAsia="Times New Roman"/>
        </w:rPr>
        <w:t>på teoretiska och metodologiska antaganden, men de avvägningar som måste göras föregår sjä</w:t>
      </w:r>
      <w:r w:rsidR="00487B9D">
        <w:rPr>
          <w:rFonts w:eastAsia="Times New Roman"/>
        </w:rPr>
        <w:t>lva det syntetiserande arbetet</w:t>
      </w:r>
      <w:r w:rsidR="001062A8">
        <w:rPr>
          <w:rFonts w:eastAsia="Times New Roman"/>
        </w:rPr>
        <w:t xml:space="preserve">. </w:t>
      </w:r>
      <w:r w:rsidR="00B17D9F">
        <w:rPr>
          <w:rFonts w:eastAsia="Times New Roman"/>
        </w:rPr>
        <w:t>I konfigurativa synteser, däremot, kräver själva syntesen ständiga tolkningar</w:t>
      </w:r>
      <w:r w:rsidR="00FF02F8">
        <w:rPr>
          <w:rFonts w:eastAsia="Times New Roman"/>
        </w:rPr>
        <w:t>,</w:t>
      </w:r>
    </w:p>
    <w:p w14:paraId="06BCC49C" w14:textId="77777777" w:rsidR="00D30921" w:rsidRDefault="00D30921" w:rsidP="00FA0588">
      <w:pPr>
        <w:rPr>
          <w:rFonts w:eastAsia="Times New Roman"/>
        </w:rPr>
      </w:pPr>
    </w:p>
    <w:p w14:paraId="12CF520B" w14:textId="77777777" w:rsidR="00D30921" w:rsidRDefault="00A02073" w:rsidP="00487B9D">
      <w:pPr>
        <w:pStyle w:val="Cit"/>
      </w:pPr>
      <w:r w:rsidRPr="00A02073">
        <w:t>as judgement is involved whenever the findings from one study are being</w:t>
      </w:r>
      <w:r w:rsidR="00487B9D">
        <w:t xml:space="preserve"> </w:t>
      </w:r>
      <w:r w:rsidRPr="00A02073">
        <w:t>compared (translated) with another</w:t>
      </w:r>
      <w:r w:rsidR="00487B9D">
        <w:t>. (Gough &amp; Thomas 2012</w:t>
      </w:r>
      <w:r w:rsidR="00F227D5">
        <w:t>a</w:t>
      </w:r>
      <w:r w:rsidR="00487B9D">
        <w:t>, 54)</w:t>
      </w:r>
    </w:p>
    <w:p w14:paraId="368B1A68" w14:textId="77777777" w:rsidR="00A02073" w:rsidRDefault="00A02073" w:rsidP="00A02073">
      <w:pPr>
        <w:rPr>
          <w:rFonts w:eastAsia="Times New Roman"/>
        </w:rPr>
      </w:pPr>
    </w:p>
    <w:p w14:paraId="1180DA48" w14:textId="77777777" w:rsidR="00A02073" w:rsidRDefault="00CF1F75" w:rsidP="00A02073">
      <w:pPr>
        <w:rPr>
          <w:rFonts w:eastAsia="Times New Roman"/>
        </w:rPr>
      </w:pPr>
      <w:r>
        <w:rPr>
          <w:rFonts w:eastAsia="Times New Roman"/>
        </w:rPr>
        <w:t xml:space="preserve">Notera </w:t>
      </w:r>
      <w:r w:rsidR="00F227D5">
        <w:rPr>
          <w:rFonts w:eastAsia="Times New Roman"/>
        </w:rPr>
        <w:t xml:space="preserve">här </w:t>
      </w:r>
      <w:r>
        <w:rPr>
          <w:rFonts w:eastAsia="Times New Roman"/>
        </w:rPr>
        <w:t>termen översättning</w:t>
      </w:r>
      <w:r w:rsidR="008F58AB">
        <w:rPr>
          <w:rFonts w:eastAsia="Times New Roman"/>
        </w:rPr>
        <w:t>, som Gough och hans kolleger har övertagit från Noblit och Hare.</w:t>
      </w:r>
      <w:r w:rsidR="00F51BF5">
        <w:rPr>
          <w:rFonts w:eastAsia="Times New Roman"/>
        </w:rPr>
        <w:t xml:space="preserve"> Även termerna “arrange” och “organise” återkommer i </w:t>
      </w:r>
      <w:r w:rsidR="00A969F4">
        <w:rPr>
          <w:rFonts w:eastAsia="Times New Roman"/>
        </w:rPr>
        <w:t xml:space="preserve">de </w:t>
      </w:r>
      <w:r w:rsidR="009B3EBF">
        <w:rPr>
          <w:rFonts w:eastAsia="Times New Roman"/>
        </w:rPr>
        <w:t xml:space="preserve">beskrivningar av vad </w:t>
      </w:r>
      <w:r w:rsidR="00F51BF5">
        <w:rPr>
          <w:rFonts w:eastAsia="Times New Roman"/>
        </w:rPr>
        <w:t xml:space="preserve">konfigurering </w:t>
      </w:r>
      <w:r w:rsidR="00A969F4">
        <w:rPr>
          <w:rFonts w:eastAsia="Times New Roman"/>
        </w:rPr>
        <w:t>innebär som Gough med medarbetare ger.</w:t>
      </w:r>
    </w:p>
    <w:p w14:paraId="1742AF1C" w14:textId="77777777" w:rsidR="008F58AB" w:rsidRDefault="008F58AB" w:rsidP="00A02073">
      <w:pPr>
        <w:rPr>
          <w:rFonts w:eastAsia="Times New Roman"/>
        </w:rPr>
      </w:pPr>
    </w:p>
    <w:p w14:paraId="74448C6D" w14:textId="77777777" w:rsidR="008F58AB" w:rsidRDefault="0074487D" w:rsidP="00A02073">
      <w:pPr>
        <w:rPr>
          <w:rFonts w:eastAsia="Times New Roman"/>
        </w:rPr>
      </w:pPr>
      <w:r>
        <w:rPr>
          <w:rFonts w:eastAsia="Times New Roman"/>
        </w:rPr>
        <w:t xml:space="preserve">EPPI-gruppens bok är rik på exempel. </w:t>
      </w:r>
      <w:r w:rsidR="00324B1D">
        <w:rPr>
          <w:rFonts w:eastAsia="Times New Roman"/>
        </w:rPr>
        <w:t xml:space="preserve">En beskrivning av hur teman i olika primärstudier kan samordnas utgör ett enkelt </w:t>
      </w:r>
      <w:r w:rsidR="002D1F43">
        <w:rPr>
          <w:rFonts w:eastAsia="Times New Roman"/>
        </w:rPr>
        <w:t xml:space="preserve">fall av </w:t>
      </w:r>
      <w:r w:rsidR="00324B1D">
        <w:rPr>
          <w:rFonts w:eastAsia="Times New Roman"/>
        </w:rPr>
        <w:t xml:space="preserve">konfigurering. </w:t>
      </w:r>
      <w:r w:rsidR="002D1F43">
        <w:rPr>
          <w:rFonts w:eastAsia="Times New Roman"/>
        </w:rPr>
        <w:t xml:space="preserve">I </w:t>
      </w:r>
      <w:r w:rsidR="002D1F43">
        <w:rPr>
          <w:rFonts w:eastAsia="Times New Roman"/>
        </w:rPr>
        <w:lastRenderedPageBreak/>
        <w:t>detta exempel</w:t>
      </w:r>
      <w:r w:rsidR="00324B1D">
        <w:rPr>
          <w:rFonts w:eastAsia="Times New Roman"/>
        </w:rPr>
        <w:t xml:space="preserve"> </w:t>
      </w:r>
      <w:r w:rsidR="002D1F43">
        <w:rPr>
          <w:rFonts w:eastAsia="Times New Roman"/>
        </w:rPr>
        <w:t>definierar författar</w:t>
      </w:r>
      <w:r w:rsidR="003072F0">
        <w:rPr>
          <w:rFonts w:eastAsia="Times New Roman"/>
        </w:rPr>
        <w:t>n</w:t>
      </w:r>
      <w:r w:rsidR="002D1F43">
        <w:rPr>
          <w:rFonts w:eastAsia="Times New Roman"/>
        </w:rPr>
        <w:t xml:space="preserve">a </w:t>
      </w:r>
      <w:r w:rsidR="003072F0">
        <w:rPr>
          <w:rFonts w:eastAsia="Times New Roman"/>
        </w:rPr>
        <w:t xml:space="preserve">av </w:t>
      </w:r>
      <w:r w:rsidR="002D1F43">
        <w:rPr>
          <w:rFonts w:eastAsia="Times New Roman"/>
        </w:rPr>
        <w:t xml:space="preserve">en </w:t>
      </w:r>
      <w:r w:rsidR="002D1F43" w:rsidRPr="00324B1D">
        <w:rPr>
          <w:rFonts w:eastAsia="Times New Roman"/>
        </w:rPr>
        <w:t xml:space="preserve">översikt </w:t>
      </w:r>
      <w:r w:rsidR="002D1F43">
        <w:rPr>
          <w:rFonts w:eastAsia="Times New Roman"/>
        </w:rPr>
        <w:t xml:space="preserve">av </w:t>
      </w:r>
      <w:r w:rsidR="002D1F43" w:rsidRPr="00324B1D">
        <w:rPr>
          <w:rFonts w:eastAsia="Times New Roman"/>
        </w:rPr>
        <w:t xml:space="preserve">forskning </w:t>
      </w:r>
      <w:r w:rsidR="002D1F43">
        <w:rPr>
          <w:rFonts w:eastAsia="Times New Roman"/>
        </w:rPr>
        <w:t xml:space="preserve">om hälsosamma matvanor “frestelsen att ha choklad hemma” som </w:t>
      </w:r>
      <w:r w:rsidR="00324B1D">
        <w:rPr>
          <w:rFonts w:eastAsia="Times New Roman"/>
        </w:rPr>
        <w:t xml:space="preserve">ett tema i en av de </w:t>
      </w:r>
      <w:r w:rsidR="002D1F43">
        <w:rPr>
          <w:rFonts w:eastAsia="Times New Roman"/>
        </w:rPr>
        <w:t xml:space="preserve">ingående studierna. </w:t>
      </w:r>
      <w:r w:rsidR="003F6622">
        <w:rPr>
          <w:rFonts w:eastAsia="Times New Roman"/>
        </w:rPr>
        <w:t xml:space="preserve">I en </w:t>
      </w:r>
      <w:r w:rsidR="00BA52F9">
        <w:rPr>
          <w:rFonts w:eastAsia="Times New Roman"/>
        </w:rPr>
        <w:t xml:space="preserve">annan studie </w:t>
      </w:r>
      <w:r w:rsidR="003F6622">
        <w:rPr>
          <w:rFonts w:eastAsia="Times New Roman"/>
        </w:rPr>
        <w:t>har betydelsen av att ha tillgång</w:t>
      </w:r>
      <w:r w:rsidR="00BA52F9">
        <w:rPr>
          <w:rFonts w:eastAsia="Times New Roman"/>
        </w:rPr>
        <w:t xml:space="preserve"> till kakor och kex</w:t>
      </w:r>
      <w:r w:rsidR="003F6622">
        <w:rPr>
          <w:rFonts w:eastAsia="Times New Roman"/>
        </w:rPr>
        <w:t xml:space="preserve"> undersökts. </w:t>
      </w:r>
      <w:r w:rsidR="00EC689D">
        <w:rPr>
          <w:rFonts w:eastAsia="Times New Roman"/>
        </w:rPr>
        <w:t xml:space="preserve">Om översiktsförfattarna </w:t>
      </w:r>
      <w:r w:rsidR="004C6ED3">
        <w:rPr>
          <w:rFonts w:eastAsia="Times New Roman"/>
        </w:rPr>
        <w:t xml:space="preserve">nu väljer </w:t>
      </w:r>
      <w:r w:rsidR="00EC689D">
        <w:rPr>
          <w:rFonts w:eastAsia="Times New Roman"/>
        </w:rPr>
        <w:t xml:space="preserve">att abstrahera </w:t>
      </w:r>
      <w:r w:rsidR="004C6ED3">
        <w:rPr>
          <w:rFonts w:eastAsia="Times New Roman"/>
        </w:rPr>
        <w:t>choklad, kakor och kex till “sötsaker” kan “tillgång till sötsaker” användas som ett tema gemensamt för bå</w:t>
      </w:r>
      <w:r w:rsidR="001A5EF9">
        <w:rPr>
          <w:rFonts w:eastAsia="Times New Roman"/>
        </w:rPr>
        <w:t>da studierna. Så här kommenterar EPPI-</w:t>
      </w:r>
      <w:r w:rsidR="001A5EF9" w:rsidRPr="001A5EF9">
        <w:rPr>
          <w:rFonts w:eastAsia="Times New Roman"/>
        </w:rPr>
        <w:t xml:space="preserve">forskarna </w:t>
      </w:r>
      <w:r w:rsidR="001A5EF9">
        <w:rPr>
          <w:rFonts w:eastAsia="Times New Roman"/>
        </w:rPr>
        <w:t>ex</w:t>
      </w:r>
      <w:r w:rsidR="003072F0">
        <w:rPr>
          <w:rFonts w:eastAsia="Times New Roman"/>
        </w:rPr>
        <w:t>emplet</w:t>
      </w:r>
      <w:r w:rsidR="001A5EF9">
        <w:rPr>
          <w:rFonts w:eastAsia="Times New Roman"/>
        </w:rPr>
        <w:t>:</w:t>
      </w:r>
    </w:p>
    <w:p w14:paraId="04CC27D7" w14:textId="77777777" w:rsidR="001A5EF9" w:rsidRDefault="001A5EF9" w:rsidP="00A02073">
      <w:pPr>
        <w:rPr>
          <w:rFonts w:eastAsia="Times New Roman"/>
        </w:rPr>
      </w:pPr>
    </w:p>
    <w:p w14:paraId="2721087F" w14:textId="77777777" w:rsidR="001A5EF9" w:rsidRDefault="00FF0617" w:rsidP="00FF0617">
      <w:pPr>
        <w:pStyle w:val="Cit"/>
      </w:pPr>
      <w:r w:rsidRPr="00CC0E15">
        <w:rPr>
          <w:lang w:val="en-US"/>
        </w:rPr>
        <w:t xml:space="preserve">The reviewers’ judgement and interpretation are critical parts of this process, as they need to determine when the theme underpinning the text is sufficiently similar to be translated into an existing theme or sufficiently dissimilar to warrant the creation of a new theme. </w:t>
      </w:r>
      <w:r>
        <w:t>(Thomas, Harden &amp; Newman 2012, 196)</w:t>
      </w:r>
    </w:p>
    <w:p w14:paraId="394FBC1D" w14:textId="77777777" w:rsidR="00FF0617" w:rsidRDefault="00FF0617" w:rsidP="00FF0617">
      <w:pPr>
        <w:rPr>
          <w:rFonts w:eastAsia="Times New Roman"/>
        </w:rPr>
      </w:pPr>
    </w:p>
    <w:p w14:paraId="42F0856B" w14:textId="77777777" w:rsidR="00FA58E2" w:rsidRDefault="004A0F85" w:rsidP="004A0F85">
      <w:r>
        <w:rPr>
          <w:rFonts w:eastAsia="Times New Roman"/>
        </w:rPr>
        <w:t xml:space="preserve">I samma kapitel av EPPI-gruppens bok ges ett </w:t>
      </w:r>
      <w:r w:rsidR="00C67B8B">
        <w:rPr>
          <w:rFonts w:eastAsia="Times New Roman"/>
        </w:rPr>
        <w:t>exempel på konfigurering</w:t>
      </w:r>
      <w:r w:rsidR="003072F0">
        <w:rPr>
          <w:rFonts w:eastAsia="Times New Roman"/>
        </w:rPr>
        <w:t xml:space="preserve"> av betydligt mer avancerat slag</w:t>
      </w:r>
      <w:r w:rsidR="00C67B8B">
        <w:rPr>
          <w:rFonts w:eastAsia="Times New Roman"/>
        </w:rPr>
        <w:t xml:space="preserve">, hämtat ur en av de </w:t>
      </w:r>
      <w:r w:rsidR="00947461">
        <w:rPr>
          <w:rFonts w:eastAsia="Times New Roman"/>
        </w:rPr>
        <w:t>översikter</w:t>
      </w:r>
      <w:r w:rsidR="00C67B8B">
        <w:rPr>
          <w:rFonts w:eastAsia="Times New Roman"/>
        </w:rPr>
        <w:t xml:space="preserve"> baserade på Noblit och Hares metod s</w:t>
      </w:r>
      <w:r w:rsidR="00236565">
        <w:rPr>
          <w:rFonts w:eastAsia="Times New Roman"/>
        </w:rPr>
        <w:t>om oftast nämns i litteraturen (</w:t>
      </w:r>
      <w:r w:rsidR="00236565">
        <w:t xml:space="preserve">Britten, Campbell, Pope, Donovan, Morgan &amp; Pill </w:t>
      </w:r>
      <w:r w:rsidR="00236565" w:rsidRPr="00777CEB">
        <w:t>2002</w:t>
      </w:r>
      <w:r w:rsidR="00754A65">
        <w:t>; Thoma</w:t>
      </w:r>
      <w:r w:rsidR="00ED4A54">
        <w:t>s, Harden &amp; Newman 2012, 199</w:t>
      </w:r>
      <w:r w:rsidR="00754A65">
        <w:t>-202</w:t>
      </w:r>
      <w:r w:rsidR="00897A13">
        <w:t xml:space="preserve">). </w:t>
      </w:r>
      <w:r w:rsidR="00947461">
        <w:t xml:space="preserve">Översiktens ämne är patienters sätt att förhålla sig till läkares ordinationer. Fyra studier hade valts ut, </w:t>
      </w:r>
      <w:r w:rsidR="00D850DF">
        <w:t xml:space="preserve">varav </w:t>
      </w:r>
      <w:r w:rsidR="00947461">
        <w:t xml:space="preserve">tre </w:t>
      </w:r>
      <w:r w:rsidR="00D850DF">
        <w:t xml:space="preserve">med författare som ingick i den grupp som genomförde översikten. </w:t>
      </w:r>
      <w:r w:rsidR="00FB2433">
        <w:t>Syntesen omfattade tre stadier. I det första stadiet ident</w:t>
      </w:r>
      <w:r w:rsidR="00655707">
        <w:t>i</w:t>
      </w:r>
      <w:r w:rsidR="00FB2433">
        <w:t xml:space="preserve">fierades begrepp som använts i de respektive studierna. Ett av dem, “self-regulation”, explicit nämnt i endast en av studierna, överordnades de övriga, dvs definierades som ett gemensamt tema. </w:t>
      </w:r>
      <w:r w:rsidR="00332425">
        <w:t xml:space="preserve">I det andra stadiet sammanfattades de </w:t>
      </w:r>
      <w:r w:rsidR="00342B3F">
        <w:t xml:space="preserve">huvudsakliga </w:t>
      </w:r>
      <w:r w:rsidR="00332425">
        <w:t xml:space="preserve">förklaringar som i respektive studie hade givits av det empiriska </w:t>
      </w:r>
      <w:r w:rsidR="00332425" w:rsidRPr="00F827D0">
        <w:t xml:space="preserve">material </w:t>
      </w:r>
      <w:r w:rsidR="00332425">
        <w:t>som samlats in</w:t>
      </w:r>
      <w:r w:rsidR="00F73BE3">
        <w:t xml:space="preserve"> för var och en av dem. I det tredje stadiet relaterades begrepp och förklaringar till varandra på ett sådant sätt att två tolkningar kunde formuleras av samband som översiktsförfattarna ansåg sig kunna urskilja i materialet som helhet. Den ena </w:t>
      </w:r>
      <w:r w:rsidR="008726CB">
        <w:t xml:space="preserve">slutsatsen var att patienterna inte </w:t>
      </w:r>
      <w:r w:rsidR="00FD274B">
        <w:t>uppfattade</w:t>
      </w:r>
      <w:r w:rsidR="008726CB">
        <w:t xml:space="preserve"> sina egna strategier för att hantera </w:t>
      </w:r>
      <w:r w:rsidR="0041445E">
        <w:t xml:space="preserve">medicin </w:t>
      </w:r>
      <w:r w:rsidR="00FD274B">
        <w:t>som legitima i vårdpersonalens ögon; den andra var att patienterna</w:t>
      </w:r>
      <w:r w:rsidR="0068099E">
        <w:t>,</w:t>
      </w:r>
      <w:r w:rsidR="00FD274B">
        <w:t xml:space="preserve"> </w:t>
      </w:r>
      <w:r w:rsidR="0068099E">
        <w:t>om de var rä</w:t>
      </w:r>
      <w:r w:rsidR="002C123B">
        <w:t xml:space="preserve">dda för någon typ av sanktioner, </w:t>
      </w:r>
      <w:r w:rsidR="0009359B">
        <w:t xml:space="preserve">inte </w:t>
      </w:r>
      <w:r w:rsidR="0068099E">
        <w:t>berättade</w:t>
      </w:r>
      <w:r w:rsidR="0009359B">
        <w:t xml:space="preserve"> </w:t>
      </w:r>
      <w:r w:rsidR="0068099E">
        <w:t xml:space="preserve">för </w:t>
      </w:r>
      <w:r w:rsidR="0009359B">
        <w:t xml:space="preserve">läkarna </w:t>
      </w:r>
      <w:r w:rsidR="0068099E">
        <w:t xml:space="preserve">om </w:t>
      </w:r>
      <w:r w:rsidR="0009359B">
        <w:t xml:space="preserve">sina kompromisser med ordinationer. Ingendera slutsatsen drogs i någon av primärstudierna; båda genererades i arbetet med syntesen. </w:t>
      </w:r>
      <w:r w:rsidR="0019766D">
        <w:t>Översikten av Britten och hennes kolleger är, som EPPI-forskarna</w:t>
      </w:r>
      <w:r w:rsidR="00FA58E2">
        <w:t xml:space="preserve"> </w:t>
      </w:r>
      <w:r w:rsidR="0019766D">
        <w:t>påpekar,</w:t>
      </w:r>
    </w:p>
    <w:p w14:paraId="203B2E64" w14:textId="77777777" w:rsidR="0019766D" w:rsidRDefault="0019766D" w:rsidP="004A0F85"/>
    <w:p w14:paraId="196F87F9" w14:textId="77777777" w:rsidR="0019766D" w:rsidRDefault="00563ACC" w:rsidP="00815F3E">
      <w:pPr>
        <w:pStyle w:val="Cit"/>
      </w:pPr>
      <w:r>
        <w:t>an example of a synthesis ‘going beyond’ the studies it contains and generating new theoretical explanations. (Thomas, Harden &amp; Newman 2012, 202)</w:t>
      </w:r>
    </w:p>
    <w:p w14:paraId="66C02688" w14:textId="77777777" w:rsidR="00563ACC" w:rsidRDefault="00563ACC" w:rsidP="00563ACC"/>
    <w:p w14:paraId="74932FC1" w14:textId="77777777" w:rsidR="00563ACC" w:rsidRPr="002C123B" w:rsidRDefault="00EC2257" w:rsidP="00563ACC">
      <w:pPr>
        <w:rPr>
          <w:i/>
        </w:rPr>
      </w:pPr>
      <w:r w:rsidRPr="002C123B">
        <w:rPr>
          <w:i/>
        </w:rPr>
        <w:lastRenderedPageBreak/>
        <w:t xml:space="preserve">Noblit och Hares </w:t>
      </w:r>
      <w:r w:rsidR="00EE61E9" w:rsidRPr="002C123B">
        <w:rPr>
          <w:i/>
        </w:rPr>
        <w:t>typer av syntes</w:t>
      </w:r>
    </w:p>
    <w:p w14:paraId="4D9C0516" w14:textId="77777777" w:rsidR="00291015" w:rsidRDefault="00291015" w:rsidP="00563ACC"/>
    <w:p w14:paraId="757BEE23" w14:textId="77777777" w:rsidR="00EE61E9" w:rsidRDefault="006B3835" w:rsidP="00563ACC">
      <w:r>
        <w:t xml:space="preserve">Som nämnts ovan beskriver Gough och hans kolleger konfigurerande synteser som syftande till att generera och utveckla, medan aggregerande synteser syftar till att pröva, teori. </w:t>
      </w:r>
      <w:r w:rsidR="008E4594">
        <w:t xml:space="preserve">De </w:t>
      </w:r>
      <w:r w:rsidR="004A6FF6">
        <w:t xml:space="preserve">reserverar sig </w:t>
      </w:r>
      <w:r w:rsidR="008E4594">
        <w:t xml:space="preserve">dock </w:t>
      </w:r>
      <w:r w:rsidR="004A6FF6">
        <w:t xml:space="preserve">genom att tillfoga </w:t>
      </w:r>
      <w:r w:rsidR="008E4594">
        <w:t>att</w:t>
      </w:r>
      <w:r w:rsidR="004A6FF6">
        <w:t xml:space="preserve"> distinktionen inte är absolut; </w:t>
      </w:r>
      <w:r w:rsidR="008E4594">
        <w:t xml:space="preserve">att de allra flesta synteser i någon mån </w:t>
      </w:r>
      <w:r w:rsidR="004A6FF6">
        <w:t>rymmer begreppsliga innovationer</w:t>
      </w:r>
      <w:r w:rsidR="008E4594">
        <w:t xml:space="preserve">. Som exempel härpå nämner de statistiska sammanställningar </w:t>
      </w:r>
      <w:r w:rsidR="004A6FF6">
        <w:t xml:space="preserve">av det slag </w:t>
      </w:r>
      <w:r w:rsidR="008E4594">
        <w:t xml:space="preserve">metaanalyser mynnar ut i, och </w:t>
      </w:r>
      <w:r w:rsidR="00C230B4">
        <w:t>påpekar</w:t>
      </w:r>
      <w:r w:rsidR="008E4594">
        <w:t xml:space="preserve"> att varje sådan sammanställning representerar ny kunskap (Gough &amp; Thomas 2012</w:t>
      </w:r>
      <w:r w:rsidR="00C230B4">
        <w:t>a</w:t>
      </w:r>
      <w:r w:rsidR="008E4594">
        <w:t xml:space="preserve">, 54; jfr Thomas, Harden &amp; Newman 2012, 180-81). </w:t>
      </w:r>
      <w:r w:rsidR="00C57E6C">
        <w:t xml:space="preserve">Mot denna </w:t>
      </w:r>
      <w:r w:rsidR="00C230B4">
        <w:t>iakttagelse</w:t>
      </w:r>
      <w:r w:rsidR="00EE61E9">
        <w:t xml:space="preserve"> kan man knappast invända, men </w:t>
      </w:r>
      <w:r w:rsidR="00C230B4">
        <w:t xml:space="preserve">härav följer inte </w:t>
      </w:r>
      <w:r w:rsidR="00EE61E9">
        <w:t xml:space="preserve">att sådana kunskapsbidrag kan betraktas som </w:t>
      </w:r>
      <w:r w:rsidR="00C57E6C">
        <w:t>begreppslig</w:t>
      </w:r>
      <w:r w:rsidR="00076BAD">
        <w:t>a</w:t>
      </w:r>
      <w:r w:rsidR="00C57E6C">
        <w:t xml:space="preserve"> </w:t>
      </w:r>
      <w:r w:rsidR="00076BAD">
        <w:t>innovationer</w:t>
      </w:r>
      <w:r w:rsidR="00C57E6C">
        <w:t>.</w:t>
      </w:r>
      <w:r w:rsidR="00076BAD">
        <w:t xml:space="preserve"> Att konfigurerande komponenter av synteser alltid </w:t>
      </w:r>
      <w:r w:rsidR="00587633">
        <w:t>inbegriper</w:t>
      </w:r>
      <w:r w:rsidR="00076BAD">
        <w:t xml:space="preserve"> teoriutveckling, i </w:t>
      </w:r>
      <w:r w:rsidR="00587633">
        <w:t>varierande</w:t>
      </w:r>
      <w:r w:rsidR="00076BAD">
        <w:t xml:space="preserve"> utsträckning, förefaller däremot uppenbart.</w:t>
      </w:r>
    </w:p>
    <w:p w14:paraId="2E6BAA0E" w14:textId="77777777" w:rsidR="00EE61E9" w:rsidRDefault="00EE61E9" w:rsidP="00563ACC"/>
    <w:p w14:paraId="73679FF1" w14:textId="77777777" w:rsidR="00B67538" w:rsidRDefault="00076BAD" w:rsidP="00563ACC">
      <w:r>
        <w:t xml:space="preserve">Med </w:t>
      </w:r>
      <w:r w:rsidR="00C15ADF">
        <w:t xml:space="preserve">avseende på teoriutveckling </w:t>
      </w:r>
      <w:r>
        <w:t xml:space="preserve">kan man </w:t>
      </w:r>
      <w:r w:rsidR="00C15ADF">
        <w:t xml:space="preserve">dela in </w:t>
      </w:r>
      <w:r w:rsidR="00C15ADF" w:rsidRPr="00F827D0">
        <w:t xml:space="preserve">översikter </w:t>
      </w:r>
      <w:r w:rsidR="00C15ADF">
        <w:t xml:space="preserve">i tre kategorier. </w:t>
      </w:r>
      <w:r w:rsidR="00760D54">
        <w:t>Till</w:t>
      </w:r>
      <w:r w:rsidR="007049AD">
        <w:t xml:space="preserve"> en första kategori kan man </w:t>
      </w:r>
      <w:r w:rsidR="00760D54">
        <w:t xml:space="preserve">hänföra </w:t>
      </w:r>
      <w:r w:rsidR="007049AD">
        <w:t>den bild av traditionella översikter som ovan förmedlats i citat från Feldman, Po</w:t>
      </w:r>
      <w:r w:rsidR="00760D54">
        <w:t>pe och Mays och Noblit och Hare;</w:t>
      </w:r>
      <w:r w:rsidR="007049AD">
        <w:t xml:space="preserve"> </w:t>
      </w:r>
      <w:r w:rsidR="00760D54">
        <w:t xml:space="preserve">kategorin består alltså av </w:t>
      </w:r>
      <w:r w:rsidR="007049AD">
        <w:t xml:space="preserve">sammanfattningar av enskilda studier, en efter en. Till en mellankategori skulle man kunna räkna </w:t>
      </w:r>
      <w:r w:rsidR="007049AD" w:rsidRPr="00F827D0">
        <w:t xml:space="preserve">översikter </w:t>
      </w:r>
      <w:r w:rsidR="007049AD">
        <w:t xml:space="preserve">som </w:t>
      </w:r>
      <w:r w:rsidR="003525B0">
        <w:t xml:space="preserve">lyckas integrera innehållet i olika studier, och i en tredje kategori kunde man placera </w:t>
      </w:r>
      <w:r w:rsidR="003525B0" w:rsidRPr="00F827D0">
        <w:t xml:space="preserve">översikter </w:t>
      </w:r>
      <w:r w:rsidR="003525B0">
        <w:t>som dessutom presenterar teorier eller modeller som inte beskrivs i de studier som syntetiserats.</w:t>
      </w:r>
    </w:p>
    <w:p w14:paraId="696FDDFB" w14:textId="77777777" w:rsidR="003525B0" w:rsidRDefault="003525B0" w:rsidP="00563ACC"/>
    <w:p w14:paraId="03A3C2B9" w14:textId="77777777" w:rsidR="003525B0" w:rsidRDefault="00B87BDA" w:rsidP="00563ACC">
      <w:pPr>
        <w:rPr>
          <w:rFonts w:eastAsia="Times New Roman"/>
        </w:rPr>
      </w:pPr>
      <w:r>
        <w:t xml:space="preserve">Att konfigurerande alltid är förknippat med teoriutveckling framgår tydligt av de skilda typer av syntes som meta-etnografi </w:t>
      </w:r>
      <w:r w:rsidR="003C1D53">
        <w:t xml:space="preserve">omfattar, och </w:t>
      </w:r>
      <w:r w:rsidR="00227B4F">
        <w:t>s</w:t>
      </w:r>
      <w:r w:rsidR="003C1D53">
        <w:t xml:space="preserve"> kort beskrevs i ett tidigare avsnitt. Noblit och Hares termer är reciprocal translation, refutational translation respektive line-of-argument synthesis. </w:t>
      </w:r>
      <w:r w:rsidR="00B57BD3">
        <w:t xml:space="preserve">Mellanformen, som gäller </w:t>
      </w:r>
      <w:r w:rsidR="00760D54">
        <w:t>studiers relationer</w:t>
      </w:r>
      <w:r w:rsidR="00B57BD3">
        <w:t xml:space="preserve"> </w:t>
      </w:r>
      <w:r w:rsidR="00760D54">
        <w:t>till studier</w:t>
      </w:r>
      <w:r w:rsidR="00B57BD3">
        <w:t xml:space="preserve"> </w:t>
      </w:r>
      <w:r w:rsidR="00760D54">
        <w:t>de är avsedda</w:t>
      </w:r>
      <w:r w:rsidR="00B57BD3">
        <w:t xml:space="preserve"> att vederlägga, kan vi lämna därhän då den saknar</w:t>
      </w:r>
      <w:r w:rsidR="003769B1">
        <w:t xml:space="preserve"> relevans för resonemang</w:t>
      </w:r>
      <w:r w:rsidR="00294DBF">
        <w:t>et</w:t>
      </w:r>
      <w:r w:rsidR="003769B1">
        <w:t>.</w:t>
      </w:r>
      <w:r w:rsidR="003769B1">
        <w:rPr>
          <w:rStyle w:val="Fotnotsreferens"/>
        </w:rPr>
        <w:footnoteReference w:id="3"/>
      </w:r>
      <w:r w:rsidR="003769B1">
        <w:t xml:space="preserve"> </w:t>
      </w:r>
      <w:r w:rsidR="00CE420C">
        <w:t xml:space="preserve">De två andra formerna svarar däremot tydligt mot kaegorierna 2 respektive 3 i den enkla typologin ovan. </w:t>
      </w:r>
      <w:r w:rsidR="002564BA">
        <w:t>Här</w:t>
      </w:r>
      <w:r w:rsidR="00FB0FD4">
        <w:t xml:space="preserve"> </w:t>
      </w:r>
      <w:r w:rsidR="002564BA">
        <w:t xml:space="preserve">är </w:t>
      </w:r>
      <w:r w:rsidR="00FB0FD4">
        <w:t>ett förbehåll</w:t>
      </w:r>
      <w:r w:rsidR="002564BA">
        <w:t xml:space="preserve"> dock på sin plats</w:t>
      </w:r>
      <w:r w:rsidR="00FB0FD4">
        <w:t xml:space="preserve">. Såväl i </w:t>
      </w:r>
      <w:r w:rsidR="00FB0FD4">
        <w:rPr>
          <w:rFonts w:eastAsia="Times New Roman"/>
        </w:rPr>
        <w:t xml:space="preserve">Sandelowski </w:t>
      </w:r>
      <w:r w:rsidR="00FB0FD4" w:rsidRPr="00A817C9">
        <w:rPr>
          <w:rFonts w:eastAsia="Times New Roman"/>
        </w:rPr>
        <w:t xml:space="preserve">Voils, Leeman </w:t>
      </w:r>
      <w:r w:rsidR="00FB0FD4">
        <w:rPr>
          <w:rFonts w:eastAsia="Times New Roman"/>
        </w:rPr>
        <w:t xml:space="preserve">&amp; Crandlee 2012 som i översiktsverket från </w:t>
      </w:r>
      <w:r w:rsidR="00FB0FD4" w:rsidRPr="00FB0FD4">
        <w:rPr>
          <w:rFonts w:eastAsia="Times New Roman"/>
        </w:rPr>
        <w:t xml:space="preserve">EPPI-Centre </w:t>
      </w:r>
      <w:r w:rsidR="00FB0FD4">
        <w:rPr>
          <w:rFonts w:eastAsia="Times New Roman"/>
        </w:rPr>
        <w:t xml:space="preserve">betonas att konfigurativa synteser </w:t>
      </w:r>
      <w:r w:rsidR="00A900E2">
        <w:rPr>
          <w:rFonts w:eastAsia="Times New Roman"/>
        </w:rPr>
        <w:t xml:space="preserve">utgår från heterogen primärlitteratur. Det finns fog för </w:t>
      </w:r>
      <w:r w:rsidR="002564BA">
        <w:rPr>
          <w:rFonts w:eastAsia="Times New Roman"/>
        </w:rPr>
        <w:t xml:space="preserve">den </w:t>
      </w:r>
      <w:r w:rsidR="00A900E2">
        <w:rPr>
          <w:rFonts w:eastAsia="Times New Roman"/>
        </w:rPr>
        <w:t xml:space="preserve">beskrivningen, särskilt när den ställs mot aggregativa syntesers </w:t>
      </w:r>
      <w:r w:rsidR="00A900E2">
        <w:rPr>
          <w:rFonts w:eastAsia="Times New Roman"/>
        </w:rPr>
        <w:lastRenderedPageBreak/>
        <w:t xml:space="preserve">fokus på homogenitet, och </w:t>
      </w:r>
      <w:r w:rsidR="002564BA">
        <w:rPr>
          <w:rFonts w:eastAsia="Times New Roman"/>
        </w:rPr>
        <w:t>påpekandet</w:t>
      </w:r>
      <w:r w:rsidR="00A900E2">
        <w:rPr>
          <w:rFonts w:eastAsia="Times New Roman"/>
        </w:rPr>
        <w:t xml:space="preserve"> att </w:t>
      </w:r>
      <w:r w:rsidR="008C55DF">
        <w:rPr>
          <w:rFonts w:eastAsia="Times New Roman"/>
        </w:rPr>
        <w:t>“</w:t>
      </w:r>
      <w:r w:rsidR="008C55DF" w:rsidRPr="008C55DF">
        <w:rPr>
          <w:rFonts w:eastAsia="Times New Roman"/>
        </w:rPr>
        <w:t>in configurative syntheses differences between studies are necessary</w:t>
      </w:r>
      <w:r w:rsidR="008C55DF">
        <w:rPr>
          <w:rFonts w:eastAsia="Times New Roman"/>
        </w:rPr>
        <w:t xml:space="preserve"> </w:t>
      </w:r>
      <w:r w:rsidR="008C55DF" w:rsidRPr="008C55DF">
        <w:rPr>
          <w:rFonts w:eastAsia="Times New Roman"/>
        </w:rPr>
        <w:t>in order for configuration to be possible</w:t>
      </w:r>
      <w:r w:rsidR="008C55DF">
        <w:rPr>
          <w:rFonts w:eastAsia="Times New Roman"/>
        </w:rPr>
        <w:t xml:space="preserve">” </w:t>
      </w:r>
      <w:r w:rsidR="00A900E2">
        <w:rPr>
          <w:rFonts w:eastAsia="Times New Roman"/>
        </w:rPr>
        <w:t xml:space="preserve">är </w:t>
      </w:r>
      <w:r w:rsidR="00686B64">
        <w:rPr>
          <w:rFonts w:eastAsia="Times New Roman"/>
        </w:rPr>
        <w:t>korrekt (Gough &amp; Thomas 2012</w:t>
      </w:r>
      <w:r w:rsidR="006A5395">
        <w:rPr>
          <w:rFonts w:eastAsia="Times New Roman"/>
        </w:rPr>
        <w:t>a</w:t>
      </w:r>
      <w:r w:rsidR="00686B64">
        <w:rPr>
          <w:rFonts w:eastAsia="Times New Roman"/>
        </w:rPr>
        <w:t>, 5</w:t>
      </w:r>
      <w:r w:rsidR="007650E8">
        <w:rPr>
          <w:rFonts w:eastAsia="Times New Roman"/>
        </w:rPr>
        <w:t xml:space="preserve">5; jfr Thomas, Harden &amp; Newman 2012, 182). </w:t>
      </w:r>
      <w:r w:rsidR="009A488B">
        <w:rPr>
          <w:rFonts w:eastAsia="Times New Roman"/>
        </w:rPr>
        <w:t xml:space="preserve">Betoningen av heterogenitet innebär </w:t>
      </w:r>
      <w:r w:rsidR="006A5395">
        <w:rPr>
          <w:rFonts w:eastAsia="Times New Roman"/>
        </w:rPr>
        <w:t>emellertid en förenkling;</w:t>
      </w:r>
      <w:r w:rsidR="009A488B">
        <w:rPr>
          <w:rFonts w:eastAsia="Times New Roman"/>
        </w:rPr>
        <w:t xml:space="preserve"> en viss grad av homogenitet mellan studierna </w:t>
      </w:r>
      <w:r w:rsidR="006A5395">
        <w:rPr>
          <w:rFonts w:eastAsia="Times New Roman"/>
        </w:rPr>
        <w:t xml:space="preserve">är </w:t>
      </w:r>
      <w:r w:rsidR="009A488B">
        <w:rPr>
          <w:rFonts w:eastAsia="Times New Roman"/>
        </w:rPr>
        <w:t>givetvis en förutsättning för att det ska vara men</w:t>
      </w:r>
      <w:r w:rsidR="0079448A">
        <w:rPr>
          <w:rFonts w:eastAsia="Times New Roman"/>
        </w:rPr>
        <w:t xml:space="preserve">ingsfullt att </w:t>
      </w:r>
      <w:r w:rsidR="006A5395">
        <w:rPr>
          <w:rFonts w:eastAsia="Times New Roman"/>
        </w:rPr>
        <w:t xml:space="preserve">försöka </w:t>
      </w:r>
      <w:r w:rsidR="0079448A">
        <w:rPr>
          <w:rFonts w:eastAsia="Times New Roman"/>
        </w:rPr>
        <w:t xml:space="preserve">länka </w:t>
      </w:r>
      <w:r w:rsidR="006A5395">
        <w:rPr>
          <w:rFonts w:eastAsia="Times New Roman"/>
        </w:rPr>
        <w:t xml:space="preserve">dem </w:t>
      </w:r>
      <w:r w:rsidR="0079448A">
        <w:rPr>
          <w:rFonts w:eastAsia="Times New Roman"/>
        </w:rPr>
        <w:t>samman.</w:t>
      </w:r>
    </w:p>
    <w:p w14:paraId="3C71F332" w14:textId="77777777" w:rsidR="0079448A" w:rsidRDefault="0079448A" w:rsidP="00563ACC">
      <w:pPr>
        <w:rPr>
          <w:rFonts w:eastAsia="Times New Roman"/>
        </w:rPr>
      </w:pPr>
    </w:p>
    <w:p w14:paraId="7A8BA3A5" w14:textId="77777777" w:rsidR="0079448A" w:rsidRDefault="0079448A" w:rsidP="00563ACC">
      <w:pPr>
        <w:rPr>
          <w:rFonts w:eastAsia="Times New Roman"/>
        </w:rPr>
      </w:pPr>
      <w:r>
        <w:rPr>
          <w:rFonts w:eastAsia="Times New Roman"/>
        </w:rPr>
        <w:t>I Noblit och Hares definition av ömsesidig översättning, deras första strategi för syntes, ligger tonvikten vid studiernas homogenitet:</w:t>
      </w:r>
    </w:p>
    <w:p w14:paraId="5A11F304" w14:textId="77777777" w:rsidR="0079448A" w:rsidRDefault="0079448A" w:rsidP="00563ACC">
      <w:pPr>
        <w:rPr>
          <w:rFonts w:eastAsia="Times New Roman"/>
        </w:rPr>
      </w:pPr>
    </w:p>
    <w:p w14:paraId="7DA4C6E0" w14:textId="77777777" w:rsidR="0079448A" w:rsidRDefault="0079448A" w:rsidP="0079448A">
      <w:pPr>
        <w:pStyle w:val="Cit"/>
      </w:pPr>
      <w:r>
        <w:t>When ethnographies are roughly about similar things, the synthesis takes the form of reciprocal translations of each case into each of the other cases. That is to say, in an iterative fashion, each study is translated into the terms (metaphors) of the others and vice versa. (Noblit och Hare 1988, 38)</w:t>
      </w:r>
    </w:p>
    <w:p w14:paraId="356E8B31" w14:textId="77777777" w:rsidR="0079448A" w:rsidRDefault="0079448A" w:rsidP="00563ACC">
      <w:pPr>
        <w:rPr>
          <w:rFonts w:eastAsia="Times New Roman"/>
        </w:rPr>
      </w:pPr>
    </w:p>
    <w:p w14:paraId="6CDEAE8A" w14:textId="77777777" w:rsidR="0079448A" w:rsidRDefault="00DB2812" w:rsidP="00563ACC">
      <w:pPr>
        <w:rPr>
          <w:rFonts w:eastAsia="Times New Roman"/>
        </w:rPr>
      </w:pPr>
      <w:r>
        <w:rPr>
          <w:rFonts w:eastAsia="Times New Roman"/>
        </w:rPr>
        <w:t xml:space="preserve">De två första stadierna av den </w:t>
      </w:r>
      <w:r w:rsidRPr="00DB2812">
        <w:rPr>
          <w:rFonts w:eastAsia="Times New Roman"/>
        </w:rPr>
        <w:t xml:space="preserve">översikt </w:t>
      </w:r>
      <w:r>
        <w:rPr>
          <w:rFonts w:eastAsia="Times New Roman"/>
        </w:rPr>
        <w:t>av Britten med medarbetare som kort beskrev</w:t>
      </w:r>
      <w:r w:rsidR="001A72BB">
        <w:rPr>
          <w:rFonts w:eastAsia="Times New Roman"/>
        </w:rPr>
        <w:t>s</w:t>
      </w:r>
      <w:r>
        <w:rPr>
          <w:rFonts w:eastAsia="Times New Roman"/>
        </w:rPr>
        <w:t xml:space="preserve"> ovan, dvs när begrepp och förklaringar ur primärstudierna </w:t>
      </w:r>
      <w:r w:rsidR="007C4928">
        <w:rPr>
          <w:rFonts w:eastAsia="Times New Roman"/>
        </w:rPr>
        <w:t>jämfördes, omformulerades och ställdes mot varandra, exemplifierar det tillvägagångssätt Noblir och Hare kallar ömsesidig översättning. Det tredje stadiet, däremot, identiferandet av mönster i översiktens samlade underlag som inte beskrevs i någon av de ingående studierna, är ett exe</w:t>
      </w:r>
      <w:r w:rsidR="00DA03BB">
        <w:rPr>
          <w:rFonts w:eastAsia="Times New Roman"/>
        </w:rPr>
        <w:t>mpel på line</w:t>
      </w:r>
      <w:r w:rsidR="006E1EE0">
        <w:rPr>
          <w:rFonts w:eastAsia="Times New Roman"/>
        </w:rPr>
        <w:t>s</w:t>
      </w:r>
      <w:r w:rsidR="00DA03BB">
        <w:rPr>
          <w:rFonts w:eastAsia="Times New Roman"/>
        </w:rPr>
        <w:t xml:space="preserve"> of argument-syntes.</w:t>
      </w:r>
      <w:r w:rsidR="007C4928">
        <w:rPr>
          <w:rFonts w:eastAsia="Times New Roman"/>
        </w:rPr>
        <w:t xml:space="preserve"> </w:t>
      </w:r>
      <w:r w:rsidR="00DA03BB">
        <w:rPr>
          <w:rFonts w:eastAsia="Times New Roman"/>
        </w:rPr>
        <w:t>Så här definierar Noblit och Hare</w:t>
      </w:r>
      <w:r w:rsidR="007C4928">
        <w:rPr>
          <w:rFonts w:eastAsia="Times New Roman"/>
        </w:rPr>
        <w:t xml:space="preserve"> </w:t>
      </w:r>
      <w:r w:rsidR="00DA03BB">
        <w:rPr>
          <w:rFonts w:eastAsia="Times New Roman"/>
        </w:rPr>
        <w:t>sin tredje strategi:</w:t>
      </w:r>
    </w:p>
    <w:p w14:paraId="35DAD8DF" w14:textId="77777777" w:rsidR="00DA03BB" w:rsidRDefault="00DA03BB" w:rsidP="00563ACC">
      <w:pPr>
        <w:rPr>
          <w:rFonts w:eastAsia="Times New Roman"/>
        </w:rPr>
      </w:pPr>
    </w:p>
    <w:p w14:paraId="27BEBCDA" w14:textId="77777777" w:rsidR="00DA03BB" w:rsidRDefault="003C1F0A" w:rsidP="003C1F0A">
      <w:pPr>
        <w:pStyle w:val="Cit"/>
      </w:pPr>
      <w:r>
        <w:t xml:space="preserve">A lines-of-argument synthesis is essentially about inference. What can we say of the whole (organization, culture, etc.), based on selective studies of the parts? This is the same as basic theorizing in </w:t>
      </w:r>
      <w:r w:rsidRPr="003C1F0A">
        <w:t xml:space="preserve">qualitative </w:t>
      </w:r>
      <w:r>
        <w:t>research... (Noblit och Hare 1988, 62)</w:t>
      </w:r>
    </w:p>
    <w:p w14:paraId="5B5FC8DE" w14:textId="77777777" w:rsidR="003C1F0A" w:rsidRDefault="003C1F0A" w:rsidP="00563ACC">
      <w:pPr>
        <w:rPr>
          <w:rFonts w:eastAsia="Times New Roman"/>
        </w:rPr>
      </w:pPr>
    </w:p>
    <w:p w14:paraId="04A9C60B" w14:textId="77777777" w:rsidR="003C1F0A" w:rsidRDefault="006E1EE0" w:rsidP="00563ACC">
      <w:pPr>
        <w:rPr>
          <w:rFonts w:eastAsia="Times New Roman"/>
        </w:rPr>
      </w:pPr>
      <w:r>
        <w:rPr>
          <w:rFonts w:eastAsia="Times New Roman"/>
        </w:rPr>
        <w:t>Lines of argument-synteser genomförs i två steg: först krävs ömsesidig översättning av de ingående studierna; därefter kan studierna relateras till varandra på ett sådant sätt att nya mönster eller linjer framträder (ibid., 64).</w:t>
      </w:r>
    </w:p>
    <w:p w14:paraId="001F3BDD" w14:textId="77777777" w:rsidR="006E1EE0" w:rsidRDefault="006E1EE0" w:rsidP="00563ACC">
      <w:pPr>
        <w:rPr>
          <w:rFonts w:eastAsia="Times New Roman"/>
        </w:rPr>
      </w:pPr>
    </w:p>
    <w:p w14:paraId="494832AD" w14:textId="77777777" w:rsidR="006E1EE0" w:rsidRDefault="00907058" w:rsidP="00563ACC">
      <w:pPr>
        <w:rPr>
          <w:rFonts w:eastAsia="Times New Roman"/>
        </w:rPr>
      </w:pPr>
      <w:r>
        <w:rPr>
          <w:rFonts w:eastAsia="Times New Roman"/>
        </w:rPr>
        <w:t xml:space="preserve">Meta-etnografi är en populär metod inom </w:t>
      </w:r>
      <w:r w:rsidRPr="00907058">
        <w:rPr>
          <w:rFonts w:eastAsia="Times New Roman"/>
        </w:rPr>
        <w:t xml:space="preserve">kvalitativ </w:t>
      </w:r>
      <w:r>
        <w:rPr>
          <w:rFonts w:eastAsia="Times New Roman"/>
        </w:rPr>
        <w:t xml:space="preserve">syntes, </w:t>
      </w:r>
      <w:r w:rsidR="00227B4F">
        <w:rPr>
          <w:rFonts w:eastAsia="Times New Roman"/>
        </w:rPr>
        <w:t>men används ofta på ett ek</w:t>
      </w:r>
      <w:r w:rsidR="00D30D4A">
        <w:rPr>
          <w:rFonts w:eastAsia="Times New Roman"/>
        </w:rPr>
        <w:t xml:space="preserve">lektiskt sätt som väcker kritik. </w:t>
      </w:r>
      <w:r w:rsidR="00FA088E">
        <w:rPr>
          <w:rFonts w:eastAsia="Times New Roman"/>
        </w:rPr>
        <w:t>Författarna till</w:t>
      </w:r>
      <w:r w:rsidR="00D30D4A">
        <w:rPr>
          <w:rFonts w:eastAsia="Times New Roman"/>
        </w:rPr>
        <w:t xml:space="preserve"> </w:t>
      </w:r>
      <w:r w:rsidR="00FA088E">
        <w:rPr>
          <w:rFonts w:eastAsia="Times New Roman"/>
        </w:rPr>
        <w:t xml:space="preserve">en </w:t>
      </w:r>
      <w:r w:rsidR="00D30D4A">
        <w:rPr>
          <w:rFonts w:eastAsia="Times New Roman"/>
        </w:rPr>
        <w:t xml:space="preserve">granskning </w:t>
      </w:r>
      <w:r w:rsidR="00FA088E">
        <w:rPr>
          <w:rFonts w:eastAsia="Times New Roman"/>
        </w:rPr>
        <w:t xml:space="preserve">häromåret </w:t>
      </w:r>
      <w:r w:rsidR="00D30D4A">
        <w:rPr>
          <w:rFonts w:eastAsia="Times New Roman"/>
        </w:rPr>
        <w:t xml:space="preserve">av 32 </w:t>
      </w:r>
      <w:r w:rsidR="00D30D4A" w:rsidRPr="00D30D4A">
        <w:rPr>
          <w:rFonts w:eastAsia="Times New Roman"/>
        </w:rPr>
        <w:t xml:space="preserve">översikter </w:t>
      </w:r>
      <w:r w:rsidR="00FA088E">
        <w:rPr>
          <w:rFonts w:eastAsia="Times New Roman"/>
        </w:rPr>
        <w:t xml:space="preserve">som </w:t>
      </w:r>
      <w:r w:rsidR="00227B4F">
        <w:rPr>
          <w:rFonts w:eastAsia="Times New Roman"/>
        </w:rPr>
        <w:t xml:space="preserve">alla </w:t>
      </w:r>
      <w:r w:rsidR="00FA088E">
        <w:rPr>
          <w:rFonts w:eastAsia="Times New Roman"/>
        </w:rPr>
        <w:t xml:space="preserve">hade presenterats som meta-etnografier fann att många av dem knappast hade följt Noblit och Hares principer. Samtliga ingående </w:t>
      </w:r>
      <w:r w:rsidR="00FA088E" w:rsidRPr="00FA088E">
        <w:rPr>
          <w:rFonts w:eastAsia="Times New Roman"/>
        </w:rPr>
        <w:t xml:space="preserve">översikter </w:t>
      </w:r>
      <w:r w:rsidR="00FA088E">
        <w:rPr>
          <w:rFonts w:eastAsia="Times New Roman"/>
        </w:rPr>
        <w:t xml:space="preserve">gjorde t ex anspråk på att följa lines of argument-strategin, men i mer än var tredje </w:t>
      </w:r>
      <w:r w:rsidR="00FA088E" w:rsidRPr="00FA088E">
        <w:rPr>
          <w:rFonts w:eastAsia="Times New Roman"/>
        </w:rPr>
        <w:t xml:space="preserve">översikt </w:t>
      </w:r>
      <w:r w:rsidR="00FA088E">
        <w:rPr>
          <w:rFonts w:eastAsia="Times New Roman"/>
        </w:rPr>
        <w:t xml:space="preserve">fann </w:t>
      </w:r>
      <w:r w:rsidR="00FA088E">
        <w:rPr>
          <w:rFonts w:eastAsia="Times New Roman"/>
        </w:rPr>
        <w:lastRenderedPageBreak/>
        <w:t>granskarna få tecken på att så hade skett (</w:t>
      </w:r>
      <w:r w:rsidR="00FA088E" w:rsidRPr="00A37FF9">
        <w:rPr>
          <w:rFonts w:eastAsia="Times New Roman"/>
        </w:rPr>
        <w:t xml:space="preserve">France, Ring, Thomas, Noyes, </w:t>
      </w:r>
      <w:r w:rsidR="00FA088E">
        <w:rPr>
          <w:rFonts w:eastAsia="Times New Roman"/>
        </w:rPr>
        <w:t>Maxwell &amp; Jepson 2014, 11).</w:t>
      </w:r>
    </w:p>
    <w:p w14:paraId="71CCE2D3" w14:textId="77777777" w:rsidR="006E1EE0" w:rsidRDefault="006E1EE0" w:rsidP="00563ACC">
      <w:pPr>
        <w:rPr>
          <w:rFonts w:eastAsia="Times New Roman"/>
        </w:rPr>
      </w:pPr>
    </w:p>
    <w:p w14:paraId="5C26A7EB" w14:textId="77777777" w:rsidR="006E1EE0" w:rsidRPr="00227B4F" w:rsidRDefault="00F047E6" w:rsidP="00563ACC">
      <w:pPr>
        <w:rPr>
          <w:rFonts w:eastAsia="Times New Roman"/>
          <w:i/>
        </w:rPr>
      </w:pPr>
      <w:r w:rsidRPr="00227B4F">
        <w:rPr>
          <w:rFonts w:eastAsia="Times New Roman"/>
          <w:i/>
        </w:rPr>
        <w:t>Realism, idealism, konstruktivism</w:t>
      </w:r>
    </w:p>
    <w:p w14:paraId="5204D888" w14:textId="77777777" w:rsidR="00F047E6" w:rsidRDefault="00F047E6" w:rsidP="00563ACC">
      <w:pPr>
        <w:rPr>
          <w:rFonts w:eastAsia="Times New Roman"/>
        </w:rPr>
      </w:pPr>
    </w:p>
    <w:p w14:paraId="1EF3C468" w14:textId="77777777" w:rsidR="00F047E6" w:rsidRDefault="008971AA" w:rsidP="00563ACC">
      <w:pPr>
        <w:rPr>
          <w:rFonts w:eastAsia="Times New Roman"/>
        </w:rPr>
      </w:pPr>
      <w:r>
        <w:rPr>
          <w:rFonts w:eastAsia="Times New Roman"/>
        </w:rPr>
        <w:t xml:space="preserve">Såväl i Sandelowski-gruppens viktigaste text om aggregering och konfigurering som i boken av Gough och hans medarbetare knyts olika typer av </w:t>
      </w:r>
      <w:r w:rsidRPr="002A6333">
        <w:rPr>
          <w:rFonts w:eastAsia="Times New Roman"/>
        </w:rPr>
        <w:t xml:space="preserve">översikter </w:t>
      </w:r>
      <w:r>
        <w:rPr>
          <w:rFonts w:eastAsia="Times New Roman"/>
        </w:rPr>
        <w:t xml:space="preserve">till grundläggande teoretiska eller filosofiska antaganden </w:t>
      </w:r>
      <w:r w:rsidR="006C7F64">
        <w:rPr>
          <w:rFonts w:eastAsia="Times New Roman"/>
        </w:rPr>
        <w:t>(</w:t>
      </w:r>
      <w:r w:rsidR="006C7F64">
        <w:t>Sandelowski, Voils, Leeman</w:t>
      </w:r>
      <w:r w:rsidR="006C7F64" w:rsidRPr="00A817C9">
        <w:t xml:space="preserve"> </w:t>
      </w:r>
      <w:r w:rsidR="006C7F64">
        <w:t>&amp; Crandlee 2012, 321-</w:t>
      </w:r>
      <w:r w:rsidR="009919E2">
        <w:t>22</w:t>
      </w:r>
      <w:r w:rsidR="008A462A">
        <w:t xml:space="preserve"> och n. 1, 327; Gough &amp; Thomas 2012</w:t>
      </w:r>
      <w:r w:rsidR="009919E2">
        <w:t>a</w:t>
      </w:r>
      <w:r w:rsidR="008A462A">
        <w:t xml:space="preserve">, </w:t>
      </w:r>
      <w:r w:rsidR="003A0B40">
        <w:t xml:space="preserve">40 ff.). </w:t>
      </w:r>
      <w:r w:rsidR="009C1508">
        <w:t xml:space="preserve">Ämnet hade dessförinnan diskuterats i en artikel av en av Goughs närmaste medarbetre (Barnett-Page &amp; Thomas 2009). </w:t>
      </w:r>
      <w:r w:rsidR="00CA09DD">
        <w:t xml:space="preserve">I alla dessa framställningar samlas antagandena ifråga i två olika kluster. För de antaganden som grupperas vid den ena polen används rubrikerna realism och positivism, medan den motsatta typen av antaganden benämns idealism och konstruktivism. </w:t>
      </w:r>
      <w:r w:rsidR="00412B06">
        <w:t>Författarna betonar begreppens bristande precision och är försiktiga i sina anspråk, men är överens om a</w:t>
      </w:r>
      <w:r w:rsidR="009919E2">
        <w:t>tt antaganden ur vardera klustret</w:t>
      </w:r>
      <w:r w:rsidR="00412B06">
        <w:t xml:space="preserve"> tenderar att prägla </w:t>
      </w:r>
      <w:r w:rsidR="00412B06">
        <w:rPr>
          <w:rFonts w:eastAsia="Times New Roman"/>
        </w:rPr>
        <w:t xml:space="preserve">en av de huvudsakliga orienteringarna inom research synthesis. </w:t>
      </w:r>
      <w:r w:rsidR="001D0F69">
        <w:rPr>
          <w:rFonts w:eastAsia="Times New Roman"/>
        </w:rPr>
        <w:t xml:space="preserve">Den realistiska hållningen är kännetecknande för </w:t>
      </w:r>
      <w:r w:rsidR="009E4C15">
        <w:rPr>
          <w:rFonts w:eastAsia="Times New Roman"/>
        </w:rPr>
        <w:t xml:space="preserve">aggregativ syntes, och brukar vara tydlig såväl i metaanalyser som i den primärlitteratur dessa bygger på. Den idealistiska eller konstruktivistiska ståndpunkten brukar intas i konfigurativ syntes, och är utbredd inom </w:t>
      </w:r>
      <w:r w:rsidR="009E4C15" w:rsidRPr="009E4C15">
        <w:rPr>
          <w:rFonts w:eastAsia="Times New Roman"/>
        </w:rPr>
        <w:t xml:space="preserve">kvalitativ forskning </w:t>
      </w:r>
      <w:r w:rsidR="009E4C15">
        <w:rPr>
          <w:rFonts w:eastAsia="Times New Roman"/>
        </w:rPr>
        <w:t>allmänt.</w:t>
      </w:r>
      <w:r w:rsidR="00AE48DD">
        <w:rPr>
          <w:rFonts w:eastAsia="Times New Roman"/>
        </w:rPr>
        <w:t xml:space="preserve"> I ett diagram i en artikel av Gough och Thomas (2012</w:t>
      </w:r>
      <w:r w:rsidR="00193919">
        <w:rPr>
          <w:rFonts w:eastAsia="Times New Roman"/>
        </w:rPr>
        <w:t>b</w:t>
      </w:r>
      <w:r w:rsidR="00AE48DD">
        <w:rPr>
          <w:rFonts w:eastAsia="Times New Roman"/>
        </w:rPr>
        <w:t>, 3) kopplas de två positionerna helt entydigt till aggregering respektive konfigurering.</w:t>
      </w:r>
    </w:p>
    <w:p w14:paraId="08C28BF2" w14:textId="77777777" w:rsidR="009E4C15" w:rsidRDefault="009E4C15" w:rsidP="00563ACC">
      <w:pPr>
        <w:rPr>
          <w:rFonts w:eastAsia="Times New Roman"/>
        </w:rPr>
      </w:pPr>
    </w:p>
    <w:p w14:paraId="2A7F854D" w14:textId="77777777" w:rsidR="009E4C15" w:rsidRDefault="000E160D" w:rsidP="00563ACC">
      <w:pPr>
        <w:rPr>
          <w:rFonts w:eastAsia="Times New Roman"/>
        </w:rPr>
      </w:pPr>
      <w:r>
        <w:rPr>
          <w:rFonts w:eastAsia="Times New Roman"/>
        </w:rPr>
        <w:t xml:space="preserve">De begrepp Sandelowski- och EPPI-gruppen använder för att beskriva dessa grundläggande antaganden är grova, och deras sätt att knyta dem till typer av syntes innebär förenklingar av samband som </w:t>
      </w:r>
      <w:r w:rsidR="00E517B9">
        <w:rPr>
          <w:rFonts w:eastAsia="Times New Roman"/>
        </w:rPr>
        <w:t xml:space="preserve">ofta är </w:t>
      </w:r>
      <w:r>
        <w:rPr>
          <w:rFonts w:eastAsia="Times New Roman"/>
        </w:rPr>
        <w:t xml:space="preserve">komplexa. </w:t>
      </w:r>
      <w:r w:rsidR="00CE5FFC">
        <w:rPr>
          <w:rFonts w:eastAsia="Times New Roman"/>
        </w:rPr>
        <w:t>Ingen tvekan råder emellertid om att två diametralt olika epistemo</w:t>
      </w:r>
      <w:r w:rsidR="00EB45DC">
        <w:rPr>
          <w:rFonts w:eastAsia="Times New Roman"/>
        </w:rPr>
        <w:t>logiska och ontologiska hållningar gör sig gällande i</w:t>
      </w:r>
      <w:r w:rsidR="00DC06DD">
        <w:rPr>
          <w:rFonts w:eastAsia="Times New Roman"/>
        </w:rPr>
        <w:t xml:space="preserve"> fältet research synthesis. Aggregativa, kvantitativa synteser bygger i hög grad på antagandet att varje studie som motsvarar de kriterier för relevans och </w:t>
      </w:r>
      <w:r w:rsidR="00DC06DD" w:rsidRPr="00DC06DD">
        <w:rPr>
          <w:rFonts w:eastAsia="Times New Roman"/>
        </w:rPr>
        <w:t xml:space="preserve">kvalitet </w:t>
      </w:r>
      <w:r w:rsidR="00DC06DD">
        <w:rPr>
          <w:rFonts w:eastAsia="Times New Roman"/>
        </w:rPr>
        <w:t xml:space="preserve">som ställts upp ger </w:t>
      </w:r>
      <w:r w:rsidR="00D50876">
        <w:rPr>
          <w:rFonts w:eastAsia="Times New Roman"/>
        </w:rPr>
        <w:t xml:space="preserve">giltig </w:t>
      </w:r>
      <w:r w:rsidR="00D50876" w:rsidRPr="00D50876">
        <w:rPr>
          <w:rFonts w:eastAsia="Times New Roman"/>
        </w:rPr>
        <w:t xml:space="preserve">information </w:t>
      </w:r>
      <w:r w:rsidR="00DC06DD">
        <w:rPr>
          <w:rFonts w:eastAsia="Times New Roman"/>
        </w:rPr>
        <w:t xml:space="preserve">om de samband som översiktens frågeställning gäller. Det statistiska resultat som studiernas </w:t>
      </w:r>
      <w:r w:rsidR="00DC06DD" w:rsidRPr="00DC06DD">
        <w:rPr>
          <w:rFonts w:eastAsia="Times New Roman"/>
        </w:rPr>
        <w:t xml:space="preserve">data </w:t>
      </w:r>
      <w:r w:rsidR="00DC06DD">
        <w:rPr>
          <w:rFonts w:eastAsia="Times New Roman"/>
        </w:rPr>
        <w:t xml:space="preserve">sammantaget ger anses </w:t>
      </w:r>
      <w:r w:rsidR="00193919">
        <w:rPr>
          <w:rFonts w:eastAsia="Times New Roman"/>
        </w:rPr>
        <w:t xml:space="preserve">därför </w:t>
      </w:r>
      <w:r w:rsidR="00D50876">
        <w:rPr>
          <w:rFonts w:eastAsia="Times New Roman"/>
        </w:rPr>
        <w:t xml:space="preserve">ge tillförlitlig </w:t>
      </w:r>
      <w:r w:rsidR="00D50876" w:rsidRPr="00D50876">
        <w:rPr>
          <w:rFonts w:eastAsia="Times New Roman"/>
        </w:rPr>
        <w:t xml:space="preserve">kunskap </w:t>
      </w:r>
      <w:r w:rsidR="00D50876">
        <w:rPr>
          <w:rFonts w:eastAsia="Times New Roman"/>
        </w:rPr>
        <w:t>om effekterna av den intervention som studerats. Relevansen av sådana resultat för policy och praktik är ofta uppenbar, och syntesernas ambition att bidra till en robust evidensbas otvetydig. Realism är en lämplig benämning för denna grundhållning.</w:t>
      </w:r>
    </w:p>
    <w:p w14:paraId="7929B243" w14:textId="77777777" w:rsidR="00D50876" w:rsidRDefault="00D50876" w:rsidP="00563ACC">
      <w:pPr>
        <w:rPr>
          <w:rFonts w:eastAsia="Times New Roman"/>
        </w:rPr>
      </w:pPr>
    </w:p>
    <w:p w14:paraId="4FA8A5A1" w14:textId="203ABB1C" w:rsidR="004A5673" w:rsidRDefault="00D50876" w:rsidP="002C2347">
      <w:r>
        <w:rPr>
          <w:rFonts w:eastAsia="Times New Roman"/>
        </w:rPr>
        <w:lastRenderedPageBreak/>
        <w:t xml:space="preserve">Att rubricera den motsatta hållningen idealism är däremot olämpligt, enligt min mening. </w:t>
      </w:r>
      <w:r w:rsidR="0072399F">
        <w:rPr>
          <w:rFonts w:eastAsia="Times New Roman"/>
        </w:rPr>
        <w:t xml:space="preserve">Postmodernism är visserligen en stark strömning på sina håll, men </w:t>
      </w:r>
      <w:r w:rsidR="00763982">
        <w:rPr>
          <w:rFonts w:eastAsia="Times New Roman"/>
        </w:rPr>
        <w:t xml:space="preserve">ett tydligt </w:t>
      </w:r>
      <w:r w:rsidR="0072399F">
        <w:rPr>
          <w:rFonts w:eastAsia="Times New Roman"/>
        </w:rPr>
        <w:t xml:space="preserve">alternativ till realism som </w:t>
      </w:r>
      <w:r w:rsidR="00763982">
        <w:rPr>
          <w:rFonts w:eastAsia="Times New Roman"/>
        </w:rPr>
        <w:t xml:space="preserve">är vanligt i synteser har ingenting med postmodernism att göra, och benämns lämpligen konstruktivism. </w:t>
      </w:r>
      <w:r w:rsidR="004D371D">
        <w:rPr>
          <w:rFonts w:eastAsia="Times New Roman"/>
        </w:rPr>
        <w:t xml:space="preserve">Allra tydligast är denna hållning i </w:t>
      </w:r>
      <w:r w:rsidR="005F7A8B">
        <w:rPr>
          <w:rFonts w:eastAsia="Times New Roman"/>
        </w:rPr>
        <w:t>meta-nar</w:t>
      </w:r>
      <w:r w:rsidR="00152214">
        <w:rPr>
          <w:rFonts w:eastAsia="Times New Roman"/>
        </w:rPr>
        <w:t>rativ syntes</w:t>
      </w:r>
      <w:r w:rsidR="005F7A8B">
        <w:rPr>
          <w:rFonts w:eastAsia="Times New Roman"/>
        </w:rPr>
        <w:t>,</w:t>
      </w:r>
      <w:r w:rsidR="003B6BA6">
        <w:rPr>
          <w:rFonts w:eastAsia="Times New Roman"/>
        </w:rPr>
        <w:t xml:space="preserve"> </w:t>
      </w:r>
      <w:r w:rsidR="005F7A8B">
        <w:rPr>
          <w:rFonts w:eastAsia="Times New Roman"/>
        </w:rPr>
        <w:t xml:space="preserve">en </w:t>
      </w:r>
      <w:r w:rsidR="003B6BA6">
        <w:rPr>
          <w:rFonts w:eastAsia="Times New Roman"/>
        </w:rPr>
        <w:t xml:space="preserve">typ av </w:t>
      </w:r>
      <w:r w:rsidR="003B6BA6" w:rsidRPr="003B6BA6">
        <w:rPr>
          <w:rFonts w:eastAsia="Times New Roman"/>
        </w:rPr>
        <w:t xml:space="preserve">kvalitativ </w:t>
      </w:r>
      <w:r w:rsidR="003B6BA6">
        <w:rPr>
          <w:rFonts w:eastAsia="Times New Roman"/>
        </w:rPr>
        <w:t>syntes som Trisha Greenhalgh med kolleger har utvecklat (</w:t>
      </w:r>
      <w:r w:rsidR="003B6BA6">
        <w:t>Greenhalgh, Robert, Macfarlane, Bate, Kyriakidou &amp; Peacock</w:t>
      </w:r>
      <w:r w:rsidR="00616A94">
        <w:t xml:space="preserve"> 2005). Denna ansats, som i hög grad bygger på Thomas Kuhns teori om paradigm, syftar till att göra resultat från enskilda studier begripliga i termer av metodologiska antaganden de bygger på och skolbildningar </w:t>
      </w:r>
      <w:r w:rsidR="00C8410E">
        <w:t>de ingår i. Empiriska resultat redovisade i primärstudier antas alltså inte återspegla de studerade fenomenen i någon enkel bemärkelse, utan betraktas istället som konstruktioner, på ett sätt liknande det som allmänt praktiseras inom konstruktivistisk vet</w:t>
      </w:r>
      <w:r w:rsidR="002C2347">
        <w:t>enskapss</w:t>
      </w:r>
      <w:r w:rsidR="00655707">
        <w:t>o</w:t>
      </w:r>
      <w:r w:rsidR="002C2347">
        <w:t xml:space="preserve">ciologi och -historia. </w:t>
      </w:r>
      <w:r w:rsidR="00827C2B">
        <w:t>Perspek</w:t>
      </w:r>
      <w:r w:rsidR="004A5673">
        <w:t>ti</w:t>
      </w:r>
      <w:r w:rsidR="00827C2B">
        <w:t>vet är besläktat med källkritik.</w:t>
      </w:r>
      <w:r w:rsidR="004A5673">
        <w:t xml:space="preserve"> </w:t>
      </w:r>
      <w:r w:rsidR="00827C2B">
        <w:t>Även i former mindre elaborerade än inom vetenskapsstudier går det hand i hand med en förmåga att läsa texter kritiskt och utgör ett slags met</w:t>
      </w:r>
      <w:r w:rsidR="00655707">
        <w:t>a</w:t>
      </w:r>
      <w:r w:rsidR="00827C2B">
        <w:t>perspektiv</w:t>
      </w:r>
      <w:r w:rsidR="004A5673">
        <w:t xml:space="preserve">. </w:t>
      </w:r>
    </w:p>
    <w:p w14:paraId="13E703E8" w14:textId="77777777" w:rsidR="004A5673" w:rsidRDefault="004A5673" w:rsidP="002C2347"/>
    <w:p w14:paraId="208D9CC5" w14:textId="77777777" w:rsidR="00C8410E" w:rsidRDefault="002C2347" w:rsidP="002C2347">
      <w:r>
        <w:t>Särskilt Gough &amp; Thomas 2012</w:t>
      </w:r>
      <w:r w:rsidR="00D701EF">
        <w:t>b</w:t>
      </w:r>
      <w:r>
        <w:t xml:space="preserve"> har hävdat att den kon</w:t>
      </w:r>
      <w:r w:rsidR="00655707">
        <w:t>s</w:t>
      </w:r>
      <w:r>
        <w:t xml:space="preserve">truktivistiska (eller idealistiska, som de föredrar att kalla den) hållningen syftar till att ge upplysning, till skillnad från den realistiska hållningens ambition att vägleda praktik och policy. Den beskrivningen är en tämligen grov förenkling. Den konstruktivistiska hållningen går tvärt om ofta hand i hand med ambitionen att erbjuda </w:t>
      </w:r>
      <w:r w:rsidR="005E4D88">
        <w:t xml:space="preserve">bättre kunskapsunderlag för beslutsfattare och professionella grupper. </w:t>
      </w:r>
      <w:r w:rsidR="00D701EF">
        <w:t xml:space="preserve">Faktum är att Gough och Thomas på annan plats </w:t>
      </w:r>
      <w:r w:rsidR="00DD63FD">
        <w:t xml:space="preserve">beskriver sin egen ansats </w:t>
      </w:r>
      <w:r w:rsidR="003130D0">
        <w:t xml:space="preserve">i enlighet med denna </w:t>
      </w:r>
      <w:r w:rsidR="007342F2">
        <w:t>iakttagelse.</w:t>
      </w:r>
      <w:r w:rsidR="003130D0">
        <w:t xml:space="preserve"> </w:t>
      </w:r>
      <w:r w:rsidR="007342F2">
        <w:t xml:space="preserve">I </w:t>
      </w:r>
      <w:r w:rsidR="00805587">
        <w:t xml:space="preserve">sitt översiktsverk </w:t>
      </w:r>
      <w:r w:rsidR="007342F2">
        <w:t>presenterar</w:t>
      </w:r>
      <w:r w:rsidR="00805587">
        <w:t xml:space="preserve"> </w:t>
      </w:r>
      <w:r w:rsidR="007342F2">
        <w:t xml:space="preserve">de EPPI-gruppens ansats </w:t>
      </w:r>
      <w:r w:rsidR="00DD63FD">
        <w:t xml:space="preserve">som en kombination av </w:t>
      </w:r>
      <w:r w:rsidR="00D44442">
        <w:t>den realistiska</w:t>
      </w:r>
      <w:r w:rsidR="00DD63FD">
        <w:t xml:space="preserve"> och </w:t>
      </w:r>
      <w:r w:rsidR="00D44442">
        <w:t>den konstruktivistiska grundhållningen</w:t>
      </w:r>
      <w:r w:rsidR="00DD63FD">
        <w:t xml:space="preserve"> (Gough &amp; Thomas 2012</w:t>
      </w:r>
      <w:r w:rsidR="00D701EF">
        <w:t>a</w:t>
      </w:r>
      <w:r w:rsidR="00DD63FD">
        <w:t>, 41-42).</w:t>
      </w:r>
    </w:p>
    <w:p w14:paraId="73C401F6" w14:textId="77777777" w:rsidR="00DD63FD" w:rsidRDefault="00DD63FD" w:rsidP="002C2347"/>
    <w:p w14:paraId="418C36C0" w14:textId="77777777" w:rsidR="00DD63FD" w:rsidRPr="00805587" w:rsidRDefault="00C52388" w:rsidP="002C2347">
      <w:pPr>
        <w:rPr>
          <w:i/>
        </w:rPr>
      </w:pPr>
      <w:r w:rsidRPr="00805587">
        <w:rPr>
          <w:i/>
        </w:rPr>
        <w:t>Stadier i syntes</w:t>
      </w:r>
      <w:r w:rsidR="00AA25A1" w:rsidRPr="00805587">
        <w:rPr>
          <w:i/>
        </w:rPr>
        <w:t>processen</w:t>
      </w:r>
    </w:p>
    <w:p w14:paraId="3B1D2B4F" w14:textId="77777777" w:rsidR="00D50876" w:rsidRDefault="00D50876" w:rsidP="00563ACC"/>
    <w:p w14:paraId="69133B15" w14:textId="77777777" w:rsidR="00C52388" w:rsidRDefault="00B662A0" w:rsidP="00563ACC">
      <w:pPr>
        <w:rPr>
          <w:rFonts w:eastAsia="Times New Roman"/>
        </w:rPr>
      </w:pPr>
      <w:r>
        <w:t xml:space="preserve">Metoder för syntes </w:t>
      </w:r>
      <w:r w:rsidR="00CF0F2E">
        <w:t>är</w:t>
      </w:r>
      <w:r>
        <w:t xml:space="preserve"> alltid </w:t>
      </w:r>
      <w:r w:rsidR="00CF0F2E">
        <w:t xml:space="preserve">uppbyggda som en </w:t>
      </w:r>
      <w:r>
        <w:t xml:space="preserve">serie </w:t>
      </w:r>
      <w:r w:rsidR="00CF0F2E">
        <w:t xml:space="preserve">steg eller </w:t>
      </w:r>
      <w:r>
        <w:t xml:space="preserve">stadier. </w:t>
      </w:r>
      <w:r w:rsidR="00352C89">
        <w:t xml:space="preserve">Till de oumbärliga steg som Cochrane, SBU och andra auktoritativa källor beskriver i sina </w:t>
      </w:r>
      <w:r w:rsidR="00CF0F2E">
        <w:t xml:space="preserve">anvisningar för systematiska </w:t>
      </w:r>
      <w:r w:rsidR="00CF0F2E" w:rsidRPr="00F827D0">
        <w:t xml:space="preserve">översikter </w:t>
      </w:r>
      <w:r w:rsidR="00352C89">
        <w:t xml:space="preserve">hör </w:t>
      </w:r>
      <w:r w:rsidR="00484FED">
        <w:t>utarbetandet av en frågeställning,</w:t>
      </w:r>
      <w:r w:rsidR="00CF0F2E">
        <w:t xml:space="preserve"> </w:t>
      </w:r>
      <w:r w:rsidR="00484FED">
        <w:t>av en sökstrategi,</w:t>
      </w:r>
      <w:r w:rsidR="00CF0F2E">
        <w:t xml:space="preserve"> </w:t>
      </w:r>
      <w:r w:rsidR="00484FED">
        <w:t xml:space="preserve">och av </w:t>
      </w:r>
      <w:r w:rsidR="00CF0F2E">
        <w:t xml:space="preserve">procedurer för värdering av de identifierade studiernas relevans och kvalitet, </w:t>
      </w:r>
      <w:r w:rsidR="00484FED">
        <w:t xml:space="preserve">för </w:t>
      </w:r>
      <w:r w:rsidR="00CF0F2E">
        <w:t xml:space="preserve">extraktion av </w:t>
      </w:r>
      <w:r w:rsidR="00CF0F2E" w:rsidRPr="00F827D0">
        <w:t xml:space="preserve">data </w:t>
      </w:r>
      <w:r w:rsidR="00CF0F2E">
        <w:t xml:space="preserve">ur de studier som väljs ut, och </w:t>
      </w:r>
      <w:r w:rsidR="00484FED">
        <w:t xml:space="preserve">för </w:t>
      </w:r>
      <w:r w:rsidR="00CF0F2E">
        <w:t xml:space="preserve">syntetiserandet av detta material. </w:t>
      </w:r>
      <w:r w:rsidR="006C171C">
        <w:t xml:space="preserve">Även exempelvis Noblit och Hares metod, som i väsentliga avseenden skiljer sig från etablerade </w:t>
      </w:r>
      <w:r w:rsidR="006C171C">
        <w:rPr>
          <w:rFonts w:eastAsia="Times New Roman"/>
        </w:rPr>
        <w:t xml:space="preserve">kvantitativa format, presenterades i form av separata </w:t>
      </w:r>
      <w:r w:rsidR="00930002">
        <w:rPr>
          <w:rFonts w:eastAsia="Times New Roman"/>
        </w:rPr>
        <w:t>faser</w:t>
      </w:r>
      <w:r w:rsidR="006C171C">
        <w:rPr>
          <w:rFonts w:eastAsia="Times New Roman"/>
        </w:rPr>
        <w:t xml:space="preserve">, sju till antalet (Noblit </w:t>
      </w:r>
      <w:r w:rsidR="00484FED">
        <w:rPr>
          <w:rFonts w:eastAsia="Times New Roman"/>
        </w:rPr>
        <w:t>&amp;</w:t>
      </w:r>
      <w:r w:rsidR="006C171C">
        <w:rPr>
          <w:rFonts w:eastAsia="Times New Roman"/>
        </w:rPr>
        <w:t xml:space="preserve"> Hare 1988, </w:t>
      </w:r>
      <w:r w:rsidR="0088180F">
        <w:rPr>
          <w:rFonts w:eastAsia="Times New Roman"/>
        </w:rPr>
        <w:t>26-29).</w:t>
      </w:r>
    </w:p>
    <w:p w14:paraId="21CE761D" w14:textId="77777777" w:rsidR="0088180F" w:rsidRDefault="0088180F" w:rsidP="00563ACC">
      <w:pPr>
        <w:rPr>
          <w:rFonts w:eastAsia="Times New Roman"/>
        </w:rPr>
      </w:pPr>
    </w:p>
    <w:p w14:paraId="0895F614" w14:textId="77777777" w:rsidR="0088180F" w:rsidRDefault="00274A7C" w:rsidP="00563ACC">
      <w:r>
        <w:t xml:space="preserve">Hela den serie stadier som brukar ingå i synteser beskrivs dock inte i var och en av de många metoder som har lanserats. </w:t>
      </w:r>
      <w:r w:rsidR="009F4AB7">
        <w:t xml:space="preserve">Andrea Tricco </w:t>
      </w:r>
      <w:r w:rsidR="002A7B8D">
        <w:t>är</w:t>
      </w:r>
      <w:r w:rsidR="00C87922">
        <w:t xml:space="preserve"> huvud</w:t>
      </w:r>
      <w:r w:rsidR="009F4AB7">
        <w:t xml:space="preserve">författare till en </w:t>
      </w:r>
      <w:r w:rsidR="002A7B8D">
        <w:t xml:space="preserve">artikel </w:t>
      </w:r>
      <w:r w:rsidR="00C87922">
        <w:t xml:space="preserve">som ingår </w:t>
      </w:r>
      <w:r w:rsidR="002A7B8D">
        <w:t xml:space="preserve">i en serie, publicerad som ett temanummer av en tidskrift häromåret, om </w:t>
      </w:r>
      <w:r w:rsidR="009F4AB7">
        <w:t>“emerging” metoder för syntes</w:t>
      </w:r>
      <w:r w:rsidR="002A7B8D">
        <w:t xml:space="preserve">, alltså metoder som utvecklats på senare år. Ett av resultaten </w:t>
      </w:r>
      <w:r w:rsidR="004804DB">
        <w:t xml:space="preserve">i </w:t>
      </w:r>
      <w:r w:rsidR="002A7B8D">
        <w:t>artikel</w:t>
      </w:r>
      <w:r w:rsidR="00C87922">
        <w:t>n av Tricco och hennes kolleger</w:t>
      </w:r>
      <w:r w:rsidR="002A7B8D">
        <w:t xml:space="preserve">, </w:t>
      </w:r>
      <w:r w:rsidR="00C87922">
        <w:t xml:space="preserve">i vilken </w:t>
      </w:r>
      <w:r w:rsidR="002A7B8D">
        <w:t>en sammanfattande analys av 25 sådana metoder</w:t>
      </w:r>
      <w:r w:rsidR="00C87922">
        <w:t xml:space="preserve"> gavs</w:t>
      </w:r>
      <w:r w:rsidR="002A7B8D">
        <w:t xml:space="preserve">, var att </w:t>
      </w:r>
      <w:r w:rsidR="004D7A8F">
        <w:t xml:space="preserve">endast </w:t>
      </w:r>
      <w:r w:rsidR="004804DB">
        <w:t>knappt hälften</w:t>
      </w:r>
      <w:r w:rsidR="004D7A8F">
        <w:t xml:space="preserve"> av dem ger anvisningar för alla centrala stadier i den process som arbetet med en översikt brukar följa</w:t>
      </w:r>
      <w:r w:rsidR="004804DB">
        <w:t>,</w:t>
      </w:r>
      <w:r w:rsidR="004D7A8F">
        <w:t xml:space="preserve"> </w:t>
      </w:r>
      <w:r w:rsidR="004804DB">
        <w:t xml:space="preserve">medan </w:t>
      </w:r>
      <w:r w:rsidR="004D7A8F">
        <w:t xml:space="preserve">de övriga endast </w:t>
      </w:r>
      <w:r w:rsidR="004804DB">
        <w:t xml:space="preserve">behandlar </w:t>
      </w:r>
      <w:r w:rsidR="006F164D">
        <w:t xml:space="preserve">själva syntesen (Tricco, Soobiah, Antony, Cogo et al. 2016, 22, 26). </w:t>
      </w:r>
      <w:r w:rsidR="004804DB">
        <w:t xml:space="preserve">Meta-etnografi är ett exempel på den senare typen av metod. </w:t>
      </w:r>
      <w:r w:rsidR="00973971">
        <w:t xml:space="preserve">Noblit och Hare ger knappt någon vägledning till hur studier ur primärlitteraturen bör väljas ut, utan fokuserar helt och hållet på procedurer som kan användas för att tolka, jämföra och länka samman en </w:t>
      </w:r>
      <w:r w:rsidR="00520904">
        <w:t>grupp</w:t>
      </w:r>
      <w:r w:rsidR="00973971">
        <w:t xml:space="preserve"> studier. </w:t>
      </w:r>
      <w:r w:rsidR="0095519E">
        <w:t xml:space="preserve">Att utveckla en vetenskaplig metod, </w:t>
      </w:r>
      <w:r w:rsidR="00520904">
        <w:t xml:space="preserve">inom </w:t>
      </w:r>
      <w:r w:rsidR="0095519E">
        <w:t>vilket område det än sker, innebär alltid att formalisera intellektuella operationer. Olika metoder för syntes formaliserar dock processens stadier i var</w:t>
      </w:r>
      <w:r w:rsidR="00520904">
        <w:t>ierande grad, och konfigurativa</w:t>
      </w:r>
      <w:r w:rsidR="0095519E">
        <w:t xml:space="preserve"> metoder är generellt formaliserade i </w:t>
      </w:r>
      <w:r w:rsidR="00520904">
        <w:t>avsevärt lägre grad än aggregativa</w:t>
      </w:r>
      <w:r w:rsidR="0095519E">
        <w:t>.</w:t>
      </w:r>
    </w:p>
    <w:p w14:paraId="7C0E11F0" w14:textId="77777777" w:rsidR="0095519E" w:rsidRDefault="0095519E" w:rsidP="00563ACC"/>
    <w:p w14:paraId="42D318A0" w14:textId="77777777" w:rsidR="00530691" w:rsidRDefault="0095519E" w:rsidP="00563ACC">
      <w:r>
        <w:t xml:space="preserve">Att så är fallet hänger samman med att en del av de operationer som ingår i synteser är betydligt enklare att formalisera än andra. </w:t>
      </w:r>
      <w:r w:rsidR="006E62AD">
        <w:t xml:space="preserve">Det steg i processen som är enklast att formalisera är utan tvekan procedurer för litteratursökning. </w:t>
      </w:r>
      <w:r w:rsidR="00683239">
        <w:t xml:space="preserve">Noggranna procedurer för uttömmande sökningar i bibliografiska databaser tycks ofta betraktas som </w:t>
      </w:r>
      <w:r w:rsidR="00050F1F">
        <w:t xml:space="preserve">huvudsakligt kännemärke för ett systematiskt tillvägagångssätt, trots att vikten av att fullständiga sökningar görs varierar med typ av syntes. I aggregativa, </w:t>
      </w:r>
      <w:r w:rsidR="00050F1F">
        <w:rPr>
          <w:rFonts w:eastAsia="Times New Roman"/>
        </w:rPr>
        <w:t>kvantitativa</w:t>
      </w:r>
      <w:r w:rsidR="00050F1F">
        <w:t xml:space="preserve"> synteser </w:t>
      </w:r>
      <w:r w:rsidR="00CE348B">
        <w:t xml:space="preserve">läggs stor vikt vid att sökningar är så fullständiga som möjligt, eftersom den statistiska precision man söker uppnå </w:t>
      </w:r>
      <w:r w:rsidR="00530691">
        <w:t xml:space="preserve">annars </w:t>
      </w:r>
      <w:r w:rsidR="002B1F77">
        <w:t xml:space="preserve">skulle </w:t>
      </w:r>
      <w:r w:rsidR="00530691">
        <w:t xml:space="preserve">äventyras. En väl genomförd konfigurerande syntes, däremot, kräver ingen uttömmande litteratursökning. Begreppslig variation är en nödvändighet, som vi har </w:t>
      </w:r>
      <w:r w:rsidR="002B1F77">
        <w:t>konstaterat</w:t>
      </w:r>
      <w:r w:rsidR="00530691">
        <w:t xml:space="preserve">, medan ett stort antal exempel inom varje kategori </w:t>
      </w:r>
      <w:r w:rsidR="002B1F77">
        <w:t xml:space="preserve">av studier som identifieras </w:t>
      </w:r>
      <w:r w:rsidR="00530691">
        <w:t xml:space="preserve">försvårar konfigurerandet. Liksom i </w:t>
      </w:r>
      <w:r w:rsidR="00530691">
        <w:rPr>
          <w:rFonts w:eastAsia="Times New Roman"/>
        </w:rPr>
        <w:t xml:space="preserve">kvalitativ </w:t>
      </w:r>
      <w:r w:rsidR="00FE6EE6">
        <w:t>forskning i allmänhet är “mättnad” (saturation)</w:t>
      </w:r>
      <w:r w:rsidR="00530691">
        <w:t xml:space="preserve"> en central princip </w:t>
      </w:r>
      <w:r w:rsidR="00FB2D9A">
        <w:t xml:space="preserve">(Brunton, Stansfield </w:t>
      </w:r>
      <w:r w:rsidR="002B1F77">
        <w:t>&amp;</w:t>
      </w:r>
      <w:r w:rsidR="00FB2D9A">
        <w:t xml:space="preserve"> Thomas 2012, </w:t>
      </w:r>
      <w:r w:rsidR="00530691">
        <w:t xml:space="preserve">113-14, </w:t>
      </w:r>
      <w:r w:rsidR="00FB2D9A">
        <w:t>133)</w:t>
      </w:r>
      <w:r w:rsidR="00DD7034">
        <w:t xml:space="preserve">. </w:t>
      </w:r>
      <w:r w:rsidR="005F7636">
        <w:t xml:space="preserve">Författare </w:t>
      </w:r>
      <w:r w:rsidR="008F456F">
        <w:t xml:space="preserve">till </w:t>
      </w:r>
      <w:r w:rsidR="008F456F" w:rsidRPr="00F827D0">
        <w:t xml:space="preserve">översikter </w:t>
      </w:r>
      <w:r w:rsidR="005F7636">
        <w:t>ger</w:t>
      </w:r>
      <w:r w:rsidR="008F456F">
        <w:t xml:space="preserve"> </w:t>
      </w:r>
      <w:r w:rsidR="005F7636">
        <w:t xml:space="preserve">ibland </w:t>
      </w:r>
      <w:r w:rsidR="008F456F">
        <w:t>procedurer för litteratursökning</w:t>
      </w:r>
      <w:r w:rsidR="002B1F77">
        <w:t xml:space="preserve"> mycket hög priorit</w:t>
      </w:r>
      <w:r w:rsidR="005F7636">
        <w:t xml:space="preserve">et utan att förklara rutinernas värde för den uppgift som hanteras. </w:t>
      </w:r>
      <w:r w:rsidR="002B1F77">
        <w:t xml:space="preserve">Ett par kritiker </w:t>
      </w:r>
      <w:r w:rsidR="001361BE">
        <w:t xml:space="preserve">av detta tillvägagångssätt </w:t>
      </w:r>
      <w:r w:rsidR="00B34726">
        <w:t xml:space="preserve">talar om </w:t>
      </w:r>
      <w:r w:rsidR="005F7636">
        <w:t>“pseudo-systematisk</w:t>
      </w:r>
      <w:r w:rsidR="00B34726">
        <w:t>a”</w:t>
      </w:r>
      <w:r w:rsidR="005F7636">
        <w:t xml:space="preserve"> översikt</w:t>
      </w:r>
      <w:r w:rsidR="00B34726">
        <w:t>er</w:t>
      </w:r>
      <w:r w:rsidR="001361BE">
        <w:t>.</w:t>
      </w:r>
      <w:r w:rsidR="005F7636">
        <w:t xml:space="preserve"> </w:t>
      </w:r>
      <w:r w:rsidR="001361BE">
        <w:t>I sådana översikter,</w:t>
      </w:r>
      <w:r w:rsidR="002B1F77">
        <w:t xml:space="preserve"> </w:t>
      </w:r>
      <w:r w:rsidR="00246B6A">
        <w:t>anser</w:t>
      </w:r>
      <w:r w:rsidR="002B1F77">
        <w:t xml:space="preserve"> dessa författare,</w:t>
      </w:r>
    </w:p>
    <w:p w14:paraId="37649674" w14:textId="77777777" w:rsidR="005F7636" w:rsidRDefault="005F7636" w:rsidP="00563ACC"/>
    <w:p w14:paraId="28ECC24C" w14:textId="77777777" w:rsidR="005F7636" w:rsidRDefault="00FB2624" w:rsidP="00B34726">
      <w:pPr>
        <w:pStyle w:val="Cit"/>
      </w:pPr>
      <w:r>
        <w:t xml:space="preserve">[the] </w:t>
      </w:r>
      <w:r w:rsidR="001361BE">
        <w:t xml:space="preserve">documenting </w:t>
      </w:r>
      <w:r>
        <w:t xml:space="preserve">[of] </w:t>
      </w:r>
      <w:r w:rsidR="001361BE">
        <w:t xml:space="preserve">some elements of process seems to be offered as a panacea which mitigates their manifest limitations. We believe </w:t>
      </w:r>
      <w:r w:rsidR="001361BE">
        <w:lastRenderedPageBreak/>
        <w:t>that inappropriately labeling some reviews as ‘systematic’ simply because of an organized approach to searching, devalues the true systematic review</w:t>
      </w:r>
      <w:r w:rsidR="00B34726">
        <w:t>... (Norman &amp; Griffiths 2014, 3)</w:t>
      </w:r>
    </w:p>
    <w:p w14:paraId="1DE6B581" w14:textId="77777777" w:rsidR="001361BE" w:rsidRDefault="001361BE" w:rsidP="001361BE"/>
    <w:p w14:paraId="36CDCBD0" w14:textId="77777777" w:rsidR="001361BE" w:rsidRDefault="001361BE" w:rsidP="001361BE"/>
    <w:p w14:paraId="1010BC03" w14:textId="77777777" w:rsidR="00311177" w:rsidRPr="009445F8" w:rsidRDefault="00C63AD6" w:rsidP="001361BE">
      <w:pPr>
        <w:rPr>
          <w:sz w:val="40"/>
          <w:szCs w:val="40"/>
        </w:rPr>
      </w:pPr>
      <w:r w:rsidRPr="009445F8">
        <w:rPr>
          <w:sz w:val="40"/>
          <w:szCs w:val="40"/>
        </w:rPr>
        <w:t>I</w:t>
      </w:r>
      <w:r w:rsidR="00311177" w:rsidRPr="009445F8">
        <w:rPr>
          <w:sz w:val="40"/>
          <w:szCs w:val="40"/>
        </w:rPr>
        <w:t>I.</w:t>
      </w:r>
      <w:r w:rsidR="0080404C" w:rsidRPr="009445F8">
        <w:rPr>
          <w:sz w:val="40"/>
          <w:szCs w:val="40"/>
        </w:rPr>
        <w:t xml:space="preserve"> Skolforskningsinstitutet</w:t>
      </w:r>
      <w:r w:rsidR="00962DD7" w:rsidRPr="009445F8">
        <w:rPr>
          <w:sz w:val="40"/>
          <w:szCs w:val="40"/>
        </w:rPr>
        <w:t>s</w:t>
      </w:r>
      <w:r w:rsidR="0080404C" w:rsidRPr="009445F8">
        <w:rPr>
          <w:sz w:val="40"/>
          <w:szCs w:val="40"/>
        </w:rPr>
        <w:t xml:space="preserve"> </w:t>
      </w:r>
      <w:r w:rsidRPr="009445F8">
        <w:rPr>
          <w:sz w:val="40"/>
          <w:szCs w:val="40"/>
        </w:rPr>
        <w:t>översikter</w:t>
      </w:r>
    </w:p>
    <w:p w14:paraId="6D098392" w14:textId="77777777" w:rsidR="00311177" w:rsidRDefault="00311177" w:rsidP="001361BE"/>
    <w:p w14:paraId="210978FE" w14:textId="77777777" w:rsidR="0080404C" w:rsidRDefault="00FA2A90" w:rsidP="001361BE">
      <w:r>
        <w:t>Skolforskningsinstitutets verksamhet består av två huvudsakliga grenar. Institutet ansvarar dels för att genomföra och sprida resultaten av forskningssammanställning</w:t>
      </w:r>
      <w:r w:rsidR="00246B6A">
        <w:t>a</w:t>
      </w:r>
      <w:r>
        <w:t xml:space="preserve">r, dels för att fördela medel för så kallad praktiknära skolforskning. </w:t>
      </w:r>
      <w:r w:rsidR="00925719">
        <w:t xml:space="preserve">I den första paragrafen i </w:t>
      </w:r>
      <w:r w:rsidR="00C2470D">
        <w:t>regeringens föro</w:t>
      </w:r>
      <w:r w:rsidR="00804936">
        <w:t>r</w:t>
      </w:r>
      <w:r w:rsidR="00C2470D">
        <w:t>dning med instruktioner för institutet specifi</w:t>
      </w:r>
      <w:r w:rsidR="00655707">
        <w:t>c</w:t>
      </w:r>
      <w:r w:rsidR="00C2470D">
        <w:t>eras sex uppgifter, varav de två sista gäller fördelning av forskningsmedel</w:t>
      </w:r>
      <w:r w:rsidR="003A3B55">
        <w:t xml:space="preserve"> (</w:t>
      </w:r>
      <w:r w:rsidR="003A3B55" w:rsidRPr="003A3B55">
        <w:t>SFS 2014:1578</w:t>
      </w:r>
      <w:r w:rsidR="003A3B55">
        <w:t>)</w:t>
      </w:r>
      <w:r w:rsidR="00C2470D">
        <w:t xml:space="preserve">. </w:t>
      </w:r>
      <w:r w:rsidR="003A3B55">
        <w:t xml:space="preserve">Paragrafens inledande </w:t>
      </w:r>
      <w:r w:rsidR="00C2470D">
        <w:t>punkter</w:t>
      </w:r>
      <w:r w:rsidR="00D77031">
        <w:t xml:space="preserve"> </w:t>
      </w:r>
      <w:r w:rsidR="003A3B55">
        <w:t xml:space="preserve">slår </w:t>
      </w:r>
      <w:r w:rsidR="00C2470D">
        <w:t>fast att Skolforskningsinstitutet ska</w:t>
      </w:r>
    </w:p>
    <w:p w14:paraId="037372FB" w14:textId="77777777" w:rsidR="00C2470D" w:rsidRDefault="00C2470D" w:rsidP="001361BE"/>
    <w:p w14:paraId="7F0EBE54" w14:textId="77777777" w:rsidR="003A3B55" w:rsidRDefault="003A3B55" w:rsidP="003A3B55">
      <w:pPr>
        <w:pStyle w:val="Cit"/>
      </w:pPr>
      <w:r>
        <w:t>1. validera forskningsresultat inom området med avseende på kvalitet och relevans,</w:t>
      </w:r>
    </w:p>
    <w:p w14:paraId="73A890BA" w14:textId="77777777" w:rsidR="003A3B55" w:rsidRDefault="003A3B55" w:rsidP="003A3B55">
      <w:pPr>
        <w:pStyle w:val="Cit"/>
      </w:pPr>
      <w:r>
        <w:t>2. systematiskt sammanställa forskningsresultat med god vetenskaplig kvalitet och presentera resultaten på ett sätt som är användbart för de verksamma inom skolväsendet, [och]</w:t>
      </w:r>
    </w:p>
    <w:p w14:paraId="24C52549" w14:textId="77777777" w:rsidR="00C2470D" w:rsidRDefault="003A3B55" w:rsidP="003A3B55">
      <w:pPr>
        <w:pStyle w:val="Cit"/>
      </w:pPr>
      <w:r>
        <w:t>3. sprida forskningsresultaten och göra dem tillgängliga för</w:t>
      </w:r>
      <w:r w:rsidR="00A013BF">
        <w:t xml:space="preserve"> de verksamma inom skolväsendet</w:t>
      </w:r>
    </w:p>
    <w:p w14:paraId="3A3422C8" w14:textId="77777777" w:rsidR="003A3B55" w:rsidRDefault="003A3B55" w:rsidP="003A3B55"/>
    <w:p w14:paraId="7D273482" w14:textId="77777777" w:rsidR="00CC7497" w:rsidRDefault="005D1F23" w:rsidP="00A013BF">
      <w:r>
        <w:t>I en fjärde punkt</w:t>
      </w:r>
      <w:r w:rsidR="00A013BF">
        <w:t xml:space="preserve"> heter det att institutet ska “identifiera områden inom skolväsendet där relevant praktiknära forskning saknas”. Detta kan uppfattas som ett led i institutets uppdrag att fördela forskningsmedel, men skulle även kunna tolkas som en deluppgift i dess sammanställningar av existerande forskning.</w:t>
      </w:r>
      <w:r w:rsidR="00B92971">
        <w:t xml:space="preserve"> </w:t>
      </w:r>
      <w:r w:rsidR="008F5D3C">
        <w:t xml:space="preserve">Förordningen föreskriver också att institutet inrättar en Skolforskningsnämnd och ett </w:t>
      </w:r>
      <w:r w:rsidR="008F5D3C" w:rsidRPr="00AC460F">
        <w:rPr>
          <w:rFonts w:eastAsia="Times New Roman"/>
        </w:rPr>
        <w:t xml:space="preserve">vetenskapligt </w:t>
      </w:r>
      <w:r w:rsidR="008F5D3C">
        <w:t xml:space="preserve">råd. Nämndens uppgift är att fatta beslut om vilka </w:t>
      </w:r>
      <w:r w:rsidR="008F5D3C" w:rsidRPr="00F827D0">
        <w:t xml:space="preserve">översikter </w:t>
      </w:r>
      <w:r w:rsidR="008F5D3C">
        <w:t>som ska genomföras.</w:t>
      </w:r>
    </w:p>
    <w:p w14:paraId="641667F8" w14:textId="77777777" w:rsidR="008F5D3C" w:rsidRDefault="008F5D3C" w:rsidP="00A013BF"/>
    <w:p w14:paraId="4A9F81F7" w14:textId="6CCD1FC4" w:rsidR="008F5D3C" w:rsidRDefault="00E004B9" w:rsidP="00A013BF">
      <w:r>
        <w:t xml:space="preserve">Regeringens beslut att etablera ett Skolforskningsinstitut fattades under 2014. Direktiven för den utredning som skulle förbereda institutets inrättande (SOU 2014:02) </w:t>
      </w:r>
      <w:r w:rsidR="004A63FD">
        <w:t>fastställdes</w:t>
      </w:r>
      <w:r>
        <w:t xml:space="preserve"> i januari</w:t>
      </w:r>
      <w:r w:rsidR="00626EA2">
        <w:t xml:space="preserve"> (Kommittédirektiv 2014:7)</w:t>
      </w:r>
      <w:r w:rsidR="004A63FD">
        <w:t>. Förordningen med institutets instruktioner utfärdades dagarna före jul</w:t>
      </w:r>
      <w:r w:rsidR="00C62E02">
        <w:t xml:space="preserve"> (SFS 2014:1578)</w:t>
      </w:r>
      <w:r w:rsidR="004A63FD">
        <w:t xml:space="preserve">, och en vecka senare </w:t>
      </w:r>
      <w:r w:rsidR="00F344D6">
        <w:t>låg</w:t>
      </w:r>
      <w:r w:rsidR="004A63FD">
        <w:t xml:space="preserve"> utredningens slutrapport </w:t>
      </w:r>
      <w:r w:rsidR="00F344D6">
        <w:t>klar</w:t>
      </w:r>
      <w:r w:rsidR="004A63FD">
        <w:t xml:space="preserve">. </w:t>
      </w:r>
      <w:r w:rsidR="006C5F13">
        <w:t xml:space="preserve">Institutet startade sin verksamhet 1 januari </w:t>
      </w:r>
      <w:r w:rsidR="00DE1D45">
        <w:t xml:space="preserve">2015 </w:t>
      </w:r>
      <w:r w:rsidR="006C5F13">
        <w:t xml:space="preserve">i </w:t>
      </w:r>
      <w:r w:rsidR="00DE1D45">
        <w:t>lokaler i Solna</w:t>
      </w:r>
      <w:r w:rsidR="006C5F13">
        <w:t>. P</w:t>
      </w:r>
      <w:r w:rsidR="00127824">
        <w:t>ersonal</w:t>
      </w:r>
      <w:r w:rsidR="006C5F13">
        <w:t>en fylldes på successivt med de anställda som rekryterats av utredningen hösten 2014</w:t>
      </w:r>
      <w:r w:rsidR="00127824">
        <w:t>.</w:t>
      </w:r>
    </w:p>
    <w:p w14:paraId="6449B7A5" w14:textId="77777777" w:rsidR="0064744F" w:rsidRDefault="0064744F" w:rsidP="00A013BF">
      <w:pPr>
        <w:rPr>
          <w:rFonts w:eastAsia="Times New Roman"/>
        </w:rPr>
      </w:pPr>
    </w:p>
    <w:p w14:paraId="7B1729C0" w14:textId="1448973E" w:rsidR="00127824" w:rsidRDefault="002314C0" w:rsidP="00A013BF">
      <w:pPr>
        <w:rPr>
          <w:rFonts w:eastAsia="Times New Roman"/>
        </w:rPr>
      </w:pPr>
      <w:r>
        <w:rPr>
          <w:rFonts w:eastAsia="Times New Roman"/>
        </w:rPr>
        <w:lastRenderedPageBreak/>
        <w:t xml:space="preserve">Verksamheten med forskningssammanställningar omfattar långt mer än utarbetandet av </w:t>
      </w:r>
      <w:r w:rsidRPr="002314C0">
        <w:rPr>
          <w:rFonts w:eastAsia="Times New Roman"/>
        </w:rPr>
        <w:t xml:space="preserve">systematiska </w:t>
      </w:r>
      <w:r>
        <w:rPr>
          <w:rFonts w:eastAsia="Times New Roman"/>
        </w:rPr>
        <w:t xml:space="preserve">översikter. </w:t>
      </w:r>
      <w:r w:rsidR="007040AF">
        <w:rPr>
          <w:rFonts w:eastAsia="Times New Roman"/>
        </w:rPr>
        <w:t xml:space="preserve">Kontakterna med lärare verksamma i svenska skolor är viktiga, eftersom det är för deras kunskapsförsörjnings skull som </w:t>
      </w:r>
      <w:r w:rsidR="007040AF" w:rsidRPr="007040AF">
        <w:rPr>
          <w:rFonts w:eastAsia="Times New Roman"/>
        </w:rPr>
        <w:t>institutet</w:t>
      </w:r>
      <w:r w:rsidR="007040AF">
        <w:rPr>
          <w:rFonts w:eastAsia="Times New Roman"/>
        </w:rPr>
        <w:t xml:space="preserve"> </w:t>
      </w:r>
      <w:r w:rsidR="00F344D6">
        <w:rPr>
          <w:rFonts w:eastAsia="Times New Roman"/>
        </w:rPr>
        <w:t xml:space="preserve">har </w:t>
      </w:r>
      <w:r w:rsidR="007040AF">
        <w:rPr>
          <w:rFonts w:eastAsia="Times New Roman"/>
        </w:rPr>
        <w:t xml:space="preserve">inrättats. </w:t>
      </w:r>
      <w:r w:rsidR="00947552">
        <w:rPr>
          <w:rFonts w:eastAsia="Times New Roman"/>
        </w:rPr>
        <w:t xml:space="preserve">Mekanismer </w:t>
      </w:r>
      <w:r w:rsidR="00D8581C">
        <w:rPr>
          <w:rFonts w:eastAsia="Times New Roman"/>
        </w:rPr>
        <w:t>för behovsi</w:t>
      </w:r>
      <w:r w:rsidR="001A72BB">
        <w:rPr>
          <w:rFonts w:eastAsia="Times New Roman"/>
        </w:rPr>
        <w:t>n</w:t>
      </w:r>
      <w:r w:rsidR="00D8581C">
        <w:rPr>
          <w:rFonts w:eastAsia="Times New Roman"/>
        </w:rPr>
        <w:t xml:space="preserve">ventering </w:t>
      </w:r>
      <w:r w:rsidR="00760AE5">
        <w:rPr>
          <w:rFonts w:eastAsia="Times New Roman"/>
        </w:rPr>
        <w:t xml:space="preserve">har </w:t>
      </w:r>
      <w:r w:rsidR="00F344D6">
        <w:rPr>
          <w:rFonts w:eastAsia="Times New Roman"/>
        </w:rPr>
        <w:t>utformats</w:t>
      </w:r>
      <w:r w:rsidR="00760AE5">
        <w:rPr>
          <w:rFonts w:eastAsia="Times New Roman"/>
        </w:rPr>
        <w:t>;</w:t>
      </w:r>
      <w:r w:rsidR="00947552">
        <w:rPr>
          <w:rFonts w:eastAsia="Times New Roman"/>
        </w:rPr>
        <w:t xml:space="preserve"> ett stort antal fokusgrupper</w:t>
      </w:r>
      <w:r w:rsidR="00760AE5">
        <w:rPr>
          <w:rFonts w:eastAsia="Times New Roman"/>
        </w:rPr>
        <w:t xml:space="preserve"> med lärare har t ex genomförts, och en databas med uppgifter om skolväsendets behov håller på att byggas upp. Vidare har en </w:t>
      </w:r>
      <w:r w:rsidR="00947552">
        <w:rPr>
          <w:rFonts w:eastAsia="Times New Roman"/>
        </w:rPr>
        <w:t xml:space="preserve">försöksverksamhet inletts med erfarna lärare som bl a genomgått en kurs vid Masterprogrammet för evidensbasering vid Göteborgs universitet, för att de inte bara ska ha en god överblick över skolans behov utan även vara förtrogna med </w:t>
      </w:r>
      <w:r w:rsidR="00F344D6">
        <w:rPr>
          <w:rFonts w:eastAsia="Times New Roman"/>
        </w:rPr>
        <w:t>synteser av primärlitteratur</w:t>
      </w:r>
      <w:r w:rsidR="00760AE5">
        <w:rPr>
          <w:rFonts w:eastAsia="Times New Roman"/>
        </w:rPr>
        <w:t>.</w:t>
      </w:r>
      <w:r w:rsidR="0064744F">
        <w:rPr>
          <w:rFonts w:eastAsia="Times New Roman"/>
        </w:rPr>
        <w:t xml:space="preserve"> En av de övriga typer av forskningssammanställningar som </w:t>
      </w:r>
      <w:r w:rsidR="0064744F" w:rsidRPr="0064744F">
        <w:rPr>
          <w:rFonts w:eastAsia="Times New Roman"/>
        </w:rPr>
        <w:t xml:space="preserve">institutet </w:t>
      </w:r>
      <w:r w:rsidR="0064744F">
        <w:rPr>
          <w:rFonts w:eastAsia="Times New Roman"/>
        </w:rPr>
        <w:t>planerar att genomföra är granskning</w:t>
      </w:r>
      <w:r w:rsidR="00CB20E2">
        <w:rPr>
          <w:rFonts w:eastAsia="Times New Roman"/>
        </w:rPr>
        <w:t xml:space="preserve">ar av </w:t>
      </w:r>
      <w:r w:rsidR="00CB20E2" w:rsidRPr="00CB20E2">
        <w:rPr>
          <w:rFonts w:eastAsia="Times New Roman"/>
        </w:rPr>
        <w:t xml:space="preserve">översikter </w:t>
      </w:r>
      <w:r w:rsidR="00CB20E2">
        <w:rPr>
          <w:rFonts w:eastAsia="Times New Roman"/>
        </w:rPr>
        <w:t>som har producerats av internationella organisationer, så att dessa kan presenteras för en svensk läsekr</w:t>
      </w:r>
      <w:r w:rsidR="006B2E84">
        <w:rPr>
          <w:rFonts w:eastAsia="Times New Roman"/>
        </w:rPr>
        <w:t xml:space="preserve">ets </w:t>
      </w:r>
      <w:r w:rsidR="00CB20E2">
        <w:rPr>
          <w:rFonts w:eastAsia="Times New Roman"/>
        </w:rPr>
        <w:t>med kommentarer om i vilken mån deras slutsatser kan gälla även svenska förhållanden. Förb</w:t>
      </w:r>
      <w:r w:rsidR="001A72BB">
        <w:rPr>
          <w:rFonts w:eastAsia="Times New Roman"/>
        </w:rPr>
        <w:t>e</w:t>
      </w:r>
      <w:r w:rsidR="00CB20E2">
        <w:rPr>
          <w:rFonts w:eastAsia="Times New Roman"/>
        </w:rPr>
        <w:t xml:space="preserve">redelser för denna verksamhet har pågått en tid, och enligt </w:t>
      </w:r>
      <w:r w:rsidR="00947552">
        <w:rPr>
          <w:rFonts w:eastAsia="Times New Roman"/>
        </w:rPr>
        <w:t xml:space="preserve">institutets senaste årsredovisning </w:t>
      </w:r>
      <w:r w:rsidR="00CB20E2">
        <w:rPr>
          <w:rFonts w:eastAsia="Times New Roman"/>
        </w:rPr>
        <w:t xml:space="preserve">ska man </w:t>
      </w:r>
      <w:r w:rsidR="0064744F">
        <w:rPr>
          <w:rFonts w:eastAsia="Times New Roman"/>
        </w:rPr>
        <w:t xml:space="preserve">under 2018 </w:t>
      </w:r>
      <w:r w:rsidR="00CB20E2">
        <w:rPr>
          <w:rFonts w:eastAsia="Times New Roman"/>
        </w:rPr>
        <w:t xml:space="preserve">börja arbeta med några befintliga </w:t>
      </w:r>
      <w:r w:rsidR="00CB20E2" w:rsidRPr="00CB20E2">
        <w:rPr>
          <w:rFonts w:eastAsia="Times New Roman"/>
        </w:rPr>
        <w:t xml:space="preserve">översikter </w:t>
      </w:r>
      <w:r w:rsidR="00CB20E2">
        <w:rPr>
          <w:rFonts w:eastAsia="Times New Roman"/>
        </w:rPr>
        <w:t xml:space="preserve">på detta sätt. </w:t>
      </w:r>
      <w:r w:rsidR="00FA409A">
        <w:rPr>
          <w:rFonts w:eastAsia="Times New Roman"/>
        </w:rPr>
        <w:t xml:space="preserve">Enligt samma årsredovisning utvecklade man under fjolåret dessutom ett processtöd för de förstudier som föregår genomförandet av varje </w:t>
      </w:r>
      <w:r w:rsidR="00FA409A" w:rsidRPr="00FA409A">
        <w:rPr>
          <w:rFonts w:eastAsia="Times New Roman"/>
        </w:rPr>
        <w:t>s</w:t>
      </w:r>
      <w:r w:rsidR="00FA409A">
        <w:rPr>
          <w:rFonts w:eastAsia="Times New Roman"/>
        </w:rPr>
        <w:t>ystematisk</w:t>
      </w:r>
      <w:r w:rsidR="00FA409A" w:rsidRPr="00FA409A">
        <w:rPr>
          <w:rFonts w:eastAsia="Times New Roman"/>
        </w:rPr>
        <w:t xml:space="preserve"> </w:t>
      </w:r>
      <w:r w:rsidR="00FA409A">
        <w:rPr>
          <w:rFonts w:eastAsia="Times New Roman"/>
        </w:rPr>
        <w:t>översikt vid institutet.</w:t>
      </w:r>
    </w:p>
    <w:p w14:paraId="42A9B1C5" w14:textId="77777777" w:rsidR="00FA409A" w:rsidRDefault="00FA409A" w:rsidP="00A013BF">
      <w:pPr>
        <w:rPr>
          <w:rFonts w:eastAsia="Times New Roman"/>
        </w:rPr>
      </w:pPr>
    </w:p>
    <w:p w14:paraId="0315B8B3" w14:textId="77777777" w:rsidR="00FA409A" w:rsidRDefault="00FA409A" w:rsidP="00A013BF">
      <w:pPr>
        <w:rPr>
          <w:rFonts w:eastAsia="Times New Roman"/>
        </w:rPr>
      </w:pPr>
      <w:r>
        <w:rPr>
          <w:rFonts w:eastAsia="Times New Roman"/>
        </w:rPr>
        <w:t xml:space="preserve">Alla dessa insatser utgör led i den infrastruktur en genomtänkt verksamhet med forskningssammanställningar kräver. </w:t>
      </w:r>
      <w:r w:rsidRPr="00FA409A">
        <w:rPr>
          <w:rFonts w:eastAsia="Times New Roman"/>
        </w:rPr>
        <w:t xml:space="preserve">Institutet </w:t>
      </w:r>
      <w:r w:rsidR="000335D8">
        <w:t>är en liten myndighet, och uppgifterna är alltså många.</w:t>
      </w:r>
      <w:r>
        <w:t xml:space="preserve"> Antalet anställda är f n 16, varav </w:t>
      </w:r>
      <w:r>
        <w:rPr>
          <w:rFonts w:eastAsia="Times New Roman"/>
        </w:rPr>
        <w:t xml:space="preserve">sju </w:t>
      </w:r>
      <w:r w:rsidR="006B2E84">
        <w:rPr>
          <w:rFonts w:eastAsia="Times New Roman"/>
        </w:rPr>
        <w:t xml:space="preserve">är </w:t>
      </w:r>
      <w:r>
        <w:rPr>
          <w:rFonts w:eastAsia="Times New Roman"/>
        </w:rPr>
        <w:t>forskare/projektledare</w:t>
      </w:r>
      <w:r w:rsidR="006C5F13">
        <w:rPr>
          <w:rFonts w:eastAsia="Times New Roman"/>
        </w:rPr>
        <w:t xml:space="preserve"> (flera på deltid)</w:t>
      </w:r>
      <w:r>
        <w:rPr>
          <w:rFonts w:eastAsia="Times New Roman"/>
        </w:rPr>
        <w:t xml:space="preserve">, </w:t>
      </w:r>
      <w:r w:rsidR="00E72E1B">
        <w:rPr>
          <w:rFonts w:eastAsia="Times New Roman"/>
        </w:rPr>
        <w:t xml:space="preserve">två </w:t>
      </w:r>
      <w:r w:rsidRPr="00EB5133">
        <w:rPr>
          <w:rFonts w:eastAsia="Times New Roman"/>
        </w:rPr>
        <w:t>information</w:t>
      </w:r>
      <w:r>
        <w:rPr>
          <w:rFonts w:eastAsia="Times New Roman"/>
        </w:rPr>
        <w:t>sspecialist</w:t>
      </w:r>
      <w:r w:rsidR="00E72E1B">
        <w:rPr>
          <w:rFonts w:eastAsia="Times New Roman"/>
        </w:rPr>
        <w:t>er</w:t>
      </w:r>
      <w:r>
        <w:rPr>
          <w:rFonts w:eastAsia="Times New Roman"/>
        </w:rPr>
        <w:t>/projektledare och en projektassistent/utredare.</w:t>
      </w:r>
      <w:r w:rsidR="000335D8">
        <w:rPr>
          <w:rFonts w:eastAsia="Times New Roman"/>
        </w:rPr>
        <w:t xml:space="preserve"> </w:t>
      </w:r>
      <w:r w:rsidR="00D32F92">
        <w:rPr>
          <w:rFonts w:eastAsia="Times New Roman"/>
        </w:rPr>
        <w:t xml:space="preserve">En av </w:t>
      </w:r>
      <w:r w:rsidR="00D32F92" w:rsidRPr="00D32F92">
        <w:rPr>
          <w:rFonts w:eastAsia="Times New Roman"/>
        </w:rPr>
        <w:t xml:space="preserve">forskarna </w:t>
      </w:r>
      <w:r w:rsidR="00D32F92">
        <w:rPr>
          <w:rFonts w:eastAsia="Times New Roman"/>
        </w:rPr>
        <w:t xml:space="preserve">är docent, och flera är verksamma i forskningsprojekt vid </w:t>
      </w:r>
      <w:r w:rsidR="00D32F92" w:rsidRPr="00D32F92">
        <w:rPr>
          <w:rFonts w:eastAsia="Times New Roman"/>
        </w:rPr>
        <w:t xml:space="preserve">universitet </w:t>
      </w:r>
      <w:r w:rsidR="00D32F92">
        <w:rPr>
          <w:rFonts w:eastAsia="Times New Roman"/>
        </w:rPr>
        <w:t xml:space="preserve">och högskolor. </w:t>
      </w:r>
      <w:r w:rsidR="00AE40A4">
        <w:rPr>
          <w:rFonts w:eastAsia="Times New Roman"/>
        </w:rPr>
        <w:t xml:space="preserve">Eftersom </w:t>
      </w:r>
      <w:r w:rsidR="00AE40A4" w:rsidRPr="00AE40A4">
        <w:rPr>
          <w:rFonts w:eastAsia="Times New Roman"/>
        </w:rPr>
        <w:t xml:space="preserve">Skolforskningsinstitutet </w:t>
      </w:r>
      <w:r w:rsidR="00AE40A4">
        <w:rPr>
          <w:rFonts w:eastAsia="Times New Roman"/>
        </w:rPr>
        <w:t xml:space="preserve">inte är knutet till något lärosäte har man </w:t>
      </w:r>
      <w:r w:rsidR="006B2E84">
        <w:rPr>
          <w:rFonts w:eastAsia="Times New Roman"/>
        </w:rPr>
        <w:t xml:space="preserve">en </w:t>
      </w:r>
      <w:r w:rsidR="00AE40A4">
        <w:rPr>
          <w:rFonts w:eastAsia="Times New Roman"/>
        </w:rPr>
        <w:t xml:space="preserve">uppsättning prenumerationer på </w:t>
      </w:r>
      <w:r w:rsidR="00AE40A4" w:rsidRPr="00AE40A4">
        <w:rPr>
          <w:rFonts w:eastAsia="Times New Roman"/>
        </w:rPr>
        <w:t xml:space="preserve">tidskrifter </w:t>
      </w:r>
      <w:r w:rsidR="00AE40A4">
        <w:rPr>
          <w:rFonts w:eastAsia="Times New Roman"/>
        </w:rPr>
        <w:t>och databaser som översiktsverksamheten kräver.</w:t>
      </w:r>
    </w:p>
    <w:p w14:paraId="735B4E3E" w14:textId="77777777" w:rsidR="00AE40A4" w:rsidRDefault="00AE40A4" w:rsidP="00A013BF">
      <w:pPr>
        <w:rPr>
          <w:rFonts w:eastAsia="Times New Roman"/>
        </w:rPr>
      </w:pPr>
    </w:p>
    <w:p w14:paraId="10D5889B" w14:textId="3FDEF4DF" w:rsidR="00B9721F" w:rsidRDefault="00B928E0" w:rsidP="00A013BF">
      <w:pPr>
        <w:rPr>
          <w:rFonts w:eastAsia="Times New Roman"/>
        </w:rPr>
      </w:pPr>
      <w:r>
        <w:rPr>
          <w:rFonts w:eastAsia="Times New Roman"/>
        </w:rPr>
        <w:t xml:space="preserve">Ett viktigt internt dokument har titeln “Projektprocess </w:t>
      </w:r>
      <w:r w:rsidRPr="00B928E0">
        <w:rPr>
          <w:rFonts w:eastAsia="Times New Roman"/>
        </w:rPr>
        <w:t xml:space="preserve">systematiska </w:t>
      </w:r>
      <w:r>
        <w:rPr>
          <w:rFonts w:eastAsia="Times New Roman"/>
        </w:rPr>
        <w:t xml:space="preserve">översikter”. </w:t>
      </w:r>
      <w:r w:rsidR="00B53124">
        <w:rPr>
          <w:rFonts w:eastAsia="Times New Roman"/>
        </w:rPr>
        <w:t xml:space="preserve">Det är avsett att ge vägledning för den totala arbetsprocessen på samma sätt som ovan nämnda processtöd för förstudier, vilka f ö ägnas ett avsnitt i dokumentet. </w:t>
      </w:r>
      <w:r w:rsidR="00FE1F18">
        <w:rPr>
          <w:rFonts w:eastAsia="Times New Roman"/>
        </w:rPr>
        <w:t xml:space="preserve">Texten är kronologiskt uppbyggd, inleds med avsnitt om dokumentation och behovsanalys, avslutas med instruktioner för lansering och kommunikation av </w:t>
      </w:r>
      <w:r w:rsidR="00FE1F18" w:rsidRPr="00FE1F18">
        <w:rPr>
          <w:rFonts w:eastAsia="Times New Roman"/>
        </w:rPr>
        <w:t>översik</w:t>
      </w:r>
      <w:r w:rsidR="00FE1F18">
        <w:rPr>
          <w:rFonts w:eastAsia="Times New Roman"/>
        </w:rPr>
        <w:t xml:space="preserve">terna, och </w:t>
      </w:r>
      <w:r w:rsidR="00E42E90">
        <w:rPr>
          <w:rFonts w:eastAsia="Times New Roman"/>
        </w:rPr>
        <w:t xml:space="preserve">specificerar sammanlagt 102 åtgärder längs denna kedja, många av dem med explicita anvisningar om vem som </w:t>
      </w:r>
      <w:r w:rsidR="002A422F">
        <w:rPr>
          <w:rFonts w:eastAsia="Times New Roman"/>
        </w:rPr>
        <w:t>äger åtgärden (projektledare, myndighetschef, skol</w:t>
      </w:r>
      <w:r w:rsidR="006C5F13">
        <w:rPr>
          <w:rFonts w:eastAsia="Times New Roman"/>
        </w:rPr>
        <w:t>forsknings</w:t>
      </w:r>
      <w:r w:rsidR="002A422F">
        <w:rPr>
          <w:rFonts w:eastAsia="Times New Roman"/>
        </w:rPr>
        <w:t xml:space="preserve">nämnd etc). </w:t>
      </w:r>
      <w:r w:rsidR="00925A3A">
        <w:rPr>
          <w:rFonts w:eastAsia="Times New Roman"/>
        </w:rPr>
        <w:t>En av de första punkterna</w:t>
      </w:r>
      <w:r w:rsidR="001C07D0">
        <w:rPr>
          <w:rFonts w:eastAsia="Times New Roman"/>
        </w:rPr>
        <w:t>,</w:t>
      </w:r>
      <w:r w:rsidR="00925A3A">
        <w:rPr>
          <w:rFonts w:eastAsia="Times New Roman"/>
        </w:rPr>
        <w:t xml:space="preserve"> så snart beslut fattats om att en </w:t>
      </w:r>
      <w:r w:rsidR="00925A3A" w:rsidRPr="00925A3A">
        <w:rPr>
          <w:rFonts w:eastAsia="Times New Roman"/>
        </w:rPr>
        <w:t xml:space="preserve">översikt </w:t>
      </w:r>
      <w:r w:rsidR="00925A3A">
        <w:rPr>
          <w:rFonts w:eastAsia="Times New Roman"/>
        </w:rPr>
        <w:t xml:space="preserve">ska </w:t>
      </w:r>
      <w:r w:rsidR="00925A3A">
        <w:rPr>
          <w:rFonts w:eastAsia="Times New Roman"/>
        </w:rPr>
        <w:lastRenderedPageBreak/>
        <w:t>genomföras</w:t>
      </w:r>
      <w:r w:rsidR="001C07D0">
        <w:rPr>
          <w:rFonts w:eastAsia="Times New Roman"/>
        </w:rPr>
        <w:t>,</w:t>
      </w:r>
      <w:r w:rsidR="00925A3A">
        <w:rPr>
          <w:rFonts w:eastAsia="Times New Roman"/>
        </w:rPr>
        <w:t xml:space="preserve"> är att förbereda rekrytering av två eller flera externa forskare. </w:t>
      </w:r>
      <w:r w:rsidR="0018301B">
        <w:rPr>
          <w:rFonts w:eastAsia="Times New Roman"/>
        </w:rPr>
        <w:t xml:space="preserve">Att externa </w:t>
      </w:r>
      <w:r w:rsidR="0018301B" w:rsidRPr="0018301B">
        <w:rPr>
          <w:rFonts w:eastAsia="Times New Roman"/>
        </w:rPr>
        <w:t xml:space="preserve">forskare </w:t>
      </w:r>
      <w:r w:rsidR="0018301B">
        <w:rPr>
          <w:rFonts w:eastAsia="Times New Roman"/>
        </w:rPr>
        <w:t xml:space="preserve">anlitas i ett senare skede, för att kvalitetsgranska rapportmanus, är inte ovanligt vid organisationer som utarbetar </w:t>
      </w:r>
      <w:r w:rsidR="0018301B" w:rsidRPr="0018301B">
        <w:rPr>
          <w:rFonts w:eastAsia="Times New Roman"/>
        </w:rPr>
        <w:t xml:space="preserve">systematiska </w:t>
      </w:r>
      <w:r w:rsidR="001C07D0">
        <w:rPr>
          <w:rFonts w:eastAsia="Times New Roman"/>
        </w:rPr>
        <w:t>översikter,</w:t>
      </w:r>
      <w:r w:rsidR="0018301B">
        <w:rPr>
          <w:rFonts w:eastAsia="Times New Roman"/>
        </w:rPr>
        <w:t xml:space="preserve"> </w:t>
      </w:r>
      <w:r w:rsidR="001C07D0">
        <w:rPr>
          <w:rFonts w:eastAsia="Times New Roman"/>
        </w:rPr>
        <w:t xml:space="preserve">och så </w:t>
      </w:r>
      <w:r w:rsidR="0018301B">
        <w:rPr>
          <w:rFonts w:eastAsia="Times New Roman"/>
        </w:rPr>
        <w:t xml:space="preserve">sker även vid </w:t>
      </w:r>
      <w:r w:rsidR="0018301B" w:rsidRPr="0018301B">
        <w:rPr>
          <w:rFonts w:eastAsia="Times New Roman"/>
        </w:rPr>
        <w:t>Skolf</w:t>
      </w:r>
      <w:r w:rsidR="001C07D0">
        <w:rPr>
          <w:rFonts w:eastAsia="Times New Roman"/>
        </w:rPr>
        <w:t>orskningsinstitutet.</w:t>
      </w:r>
      <w:r w:rsidR="0018301B">
        <w:rPr>
          <w:rFonts w:eastAsia="Times New Roman"/>
        </w:rPr>
        <w:t xml:space="preserve"> </w:t>
      </w:r>
      <w:r w:rsidR="001C07D0">
        <w:rPr>
          <w:rFonts w:eastAsia="Times New Roman"/>
        </w:rPr>
        <w:t xml:space="preserve">Här </w:t>
      </w:r>
      <w:r w:rsidR="0018301B">
        <w:rPr>
          <w:rFonts w:eastAsia="Times New Roman"/>
        </w:rPr>
        <w:t xml:space="preserve">är </w:t>
      </w:r>
      <w:r w:rsidR="001C07D0">
        <w:rPr>
          <w:rFonts w:eastAsia="Times New Roman"/>
        </w:rPr>
        <w:t xml:space="preserve">dock </w:t>
      </w:r>
      <w:r w:rsidR="0018301B">
        <w:rPr>
          <w:rFonts w:eastAsia="Times New Roman"/>
        </w:rPr>
        <w:t xml:space="preserve">externa </w:t>
      </w:r>
      <w:r w:rsidR="0018301B" w:rsidRPr="00925A3A">
        <w:rPr>
          <w:rFonts w:eastAsia="Times New Roman"/>
        </w:rPr>
        <w:t xml:space="preserve">forskare </w:t>
      </w:r>
      <w:r w:rsidR="0018301B">
        <w:rPr>
          <w:rFonts w:eastAsia="Times New Roman"/>
        </w:rPr>
        <w:t>dessutom involverade i sjä</w:t>
      </w:r>
      <w:r w:rsidR="006C5F13">
        <w:rPr>
          <w:rFonts w:eastAsia="Times New Roman"/>
        </w:rPr>
        <w:t>l</w:t>
      </w:r>
      <w:r w:rsidR="0018301B">
        <w:rPr>
          <w:rFonts w:eastAsia="Times New Roman"/>
        </w:rPr>
        <w:t xml:space="preserve">va arbetet med synteserna. Detta är </w:t>
      </w:r>
      <w:r w:rsidR="001C07D0">
        <w:rPr>
          <w:rFonts w:eastAsia="Times New Roman"/>
        </w:rPr>
        <w:t>en</w:t>
      </w:r>
      <w:r w:rsidR="0018301B">
        <w:rPr>
          <w:rFonts w:eastAsia="Times New Roman"/>
        </w:rPr>
        <w:t xml:space="preserve"> </w:t>
      </w:r>
      <w:r w:rsidR="001C07D0">
        <w:rPr>
          <w:rFonts w:eastAsia="Times New Roman"/>
        </w:rPr>
        <w:t>väsentlig</w:t>
      </w:r>
      <w:r w:rsidR="00925A3A">
        <w:rPr>
          <w:rFonts w:eastAsia="Times New Roman"/>
        </w:rPr>
        <w:t xml:space="preserve"> </w:t>
      </w:r>
      <w:r w:rsidR="001C07D0">
        <w:rPr>
          <w:rFonts w:eastAsia="Times New Roman"/>
        </w:rPr>
        <w:t xml:space="preserve">aspekt av </w:t>
      </w:r>
      <w:r w:rsidR="0018301B">
        <w:rPr>
          <w:rFonts w:eastAsia="Times New Roman"/>
        </w:rPr>
        <w:t xml:space="preserve">institutets </w:t>
      </w:r>
      <w:r w:rsidR="00925A3A">
        <w:rPr>
          <w:rFonts w:eastAsia="Times New Roman"/>
        </w:rPr>
        <w:t xml:space="preserve">verksamhet med </w:t>
      </w:r>
      <w:r w:rsidR="0018301B">
        <w:rPr>
          <w:rFonts w:eastAsia="Times New Roman"/>
        </w:rPr>
        <w:t xml:space="preserve">översikter. </w:t>
      </w:r>
      <w:r w:rsidR="00A46441">
        <w:rPr>
          <w:rFonts w:eastAsia="Times New Roman"/>
        </w:rPr>
        <w:t xml:space="preserve">I dokumentet om </w:t>
      </w:r>
      <w:r w:rsidR="001B3CDA">
        <w:rPr>
          <w:rFonts w:eastAsia="Times New Roman"/>
        </w:rPr>
        <w:t xml:space="preserve">projektprocessen anges i många fall om de steg som beskrivs är interna eller externa angelägenheter, dvs om det är institutets personal eller de externa </w:t>
      </w:r>
      <w:r w:rsidR="001B3CDA" w:rsidRPr="001B3CDA">
        <w:rPr>
          <w:rFonts w:eastAsia="Times New Roman"/>
        </w:rPr>
        <w:t xml:space="preserve">forskarna </w:t>
      </w:r>
      <w:r w:rsidR="001B3CDA">
        <w:rPr>
          <w:rFonts w:eastAsia="Times New Roman"/>
        </w:rPr>
        <w:t xml:space="preserve">som ska stå för deras genomförande. </w:t>
      </w:r>
      <w:r w:rsidR="00FE3A92">
        <w:rPr>
          <w:rFonts w:eastAsia="Times New Roman"/>
        </w:rPr>
        <w:t xml:space="preserve">Vissa </w:t>
      </w:r>
      <w:r w:rsidR="00B9721F">
        <w:rPr>
          <w:rFonts w:eastAsia="Times New Roman"/>
        </w:rPr>
        <w:t xml:space="preserve">uppgifter anges </w:t>
      </w:r>
      <w:r w:rsidR="004A5673">
        <w:rPr>
          <w:rFonts w:eastAsia="Times New Roman"/>
        </w:rPr>
        <w:t>vara</w:t>
      </w:r>
      <w:r w:rsidR="001C07D0">
        <w:rPr>
          <w:rFonts w:eastAsia="Times New Roman"/>
        </w:rPr>
        <w:t xml:space="preserve"> hela projektgruppen</w:t>
      </w:r>
      <w:r w:rsidR="004A5673">
        <w:rPr>
          <w:rFonts w:eastAsia="Times New Roman"/>
        </w:rPr>
        <w:t>s angelägenhet</w:t>
      </w:r>
      <w:r w:rsidR="00B9721F">
        <w:rPr>
          <w:rFonts w:eastAsia="Times New Roman"/>
        </w:rPr>
        <w:t xml:space="preserve">. I varje projektgrupp ska förutom projektledaren en biträdande projektledare, en </w:t>
      </w:r>
      <w:r w:rsidR="00B9721F" w:rsidRPr="00B9721F">
        <w:rPr>
          <w:rFonts w:eastAsia="Times New Roman"/>
        </w:rPr>
        <w:t>information</w:t>
      </w:r>
      <w:r w:rsidR="00B9721F">
        <w:rPr>
          <w:rFonts w:eastAsia="Times New Roman"/>
        </w:rPr>
        <w:t xml:space="preserve">sspecialist, en projektassistent och </w:t>
      </w:r>
      <w:r w:rsidR="00E4078A">
        <w:rPr>
          <w:rFonts w:eastAsia="Times New Roman"/>
        </w:rPr>
        <w:t xml:space="preserve">minst två </w:t>
      </w:r>
      <w:r w:rsidR="00B9721F">
        <w:rPr>
          <w:rFonts w:eastAsia="Times New Roman"/>
        </w:rPr>
        <w:t xml:space="preserve">externa </w:t>
      </w:r>
      <w:r w:rsidR="00B9721F" w:rsidRPr="00B9721F">
        <w:rPr>
          <w:rFonts w:eastAsia="Times New Roman"/>
        </w:rPr>
        <w:t xml:space="preserve">forskare </w:t>
      </w:r>
      <w:r w:rsidR="00B9721F">
        <w:rPr>
          <w:rFonts w:eastAsia="Times New Roman"/>
        </w:rPr>
        <w:t>ingå.</w:t>
      </w:r>
    </w:p>
    <w:p w14:paraId="6AE651E3" w14:textId="77777777" w:rsidR="00646EF7" w:rsidRDefault="00646EF7" w:rsidP="00A013BF">
      <w:pPr>
        <w:rPr>
          <w:rFonts w:eastAsia="Times New Roman"/>
        </w:rPr>
      </w:pPr>
    </w:p>
    <w:p w14:paraId="20E0586B" w14:textId="77777777" w:rsidR="006C5F13" w:rsidRDefault="006C5F13" w:rsidP="00A013BF">
      <w:pPr>
        <w:rPr>
          <w:rFonts w:eastAsia="Times New Roman"/>
        </w:rPr>
      </w:pPr>
    </w:p>
    <w:p w14:paraId="59ACCA86" w14:textId="77777777" w:rsidR="006C5F13" w:rsidRDefault="006C5F13" w:rsidP="00A013BF">
      <w:pPr>
        <w:rPr>
          <w:rFonts w:eastAsia="Times New Roman"/>
        </w:rPr>
      </w:pPr>
    </w:p>
    <w:p w14:paraId="54E265B9" w14:textId="77777777" w:rsidR="00646EF7" w:rsidRPr="001C07D0" w:rsidRDefault="0064203D" w:rsidP="00A013BF">
      <w:pPr>
        <w:rPr>
          <w:rFonts w:eastAsia="Times New Roman"/>
          <w:sz w:val="36"/>
          <w:szCs w:val="36"/>
        </w:rPr>
      </w:pPr>
      <w:r w:rsidRPr="001C07D0">
        <w:rPr>
          <w:rFonts w:eastAsia="Times New Roman"/>
          <w:sz w:val="36"/>
          <w:szCs w:val="36"/>
        </w:rPr>
        <w:t>Rapporten</w:t>
      </w:r>
      <w:r w:rsidR="00646EF7" w:rsidRPr="001C07D0">
        <w:rPr>
          <w:rFonts w:eastAsia="Times New Roman"/>
          <w:sz w:val="36"/>
          <w:szCs w:val="36"/>
        </w:rPr>
        <w:t xml:space="preserve"> om lärresurser för förskolan</w:t>
      </w:r>
    </w:p>
    <w:p w14:paraId="0C654B64" w14:textId="77777777" w:rsidR="00646EF7" w:rsidRDefault="00646EF7" w:rsidP="00A013BF">
      <w:pPr>
        <w:rPr>
          <w:rFonts w:eastAsia="Times New Roman"/>
        </w:rPr>
      </w:pPr>
    </w:p>
    <w:p w14:paraId="250A055C" w14:textId="77777777" w:rsidR="00F757FA" w:rsidRDefault="00C454D0" w:rsidP="00792F1B">
      <w:pPr>
        <w:rPr>
          <w:rFonts w:eastAsia="Times New Roman"/>
        </w:rPr>
      </w:pPr>
      <w:r>
        <w:rPr>
          <w:rFonts w:eastAsia="Times New Roman"/>
        </w:rPr>
        <w:t xml:space="preserve">Vilka som ingått i projektgruppen för denna </w:t>
      </w:r>
      <w:r w:rsidRPr="00C454D0">
        <w:rPr>
          <w:rFonts w:eastAsia="Times New Roman"/>
        </w:rPr>
        <w:t xml:space="preserve">översikt </w:t>
      </w:r>
      <w:r w:rsidR="00BD5329">
        <w:rPr>
          <w:rFonts w:eastAsia="Times New Roman"/>
        </w:rPr>
        <w:t>framgår i finstilt text</w:t>
      </w:r>
      <w:r w:rsidR="00C93807">
        <w:rPr>
          <w:rFonts w:eastAsia="Times New Roman"/>
        </w:rPr>
        <w:t xml:space="preserve"> på </w:t>
      </w:r>
      <w:r w:rsidR="004A5673">
        <w:rPr>
          <w:rFonts w:eastAsia="Times New Roman"/>
        </w:rPr>
        <w:t xml:space="preserve">rapportens </w:t>
      </w:r>
      <w:r w:rsidR="00C93807">
        <w:rPr>
          <w:rFonts w:eastAsia="Times New Roman"/>
        </w:rPr>
        <w:t>f</w:t>
      </w:r>
      <w:r w:rsidR="004A5673">
        <w:rPr>
          <w:rFonts w:eastAsia="Times New Roman"/>
        </w:rPr>
        <w:t>örsättsblad</w:t>
      </w:r>
      <w:r>
        <w:rPr>
          <w:rFonts w:eastAsia="Times New Roman"/>
        </w:rPr>
        <w:t xml:space="preserve">, </w:t>
      </w:r>
      <w:r w:rsidR="00BD5329">
        <w:rPr>
          <w:rFonts w:eastAsia="Times New Roman"/>
        </w:rPr>
        <w:t>där även</w:t>
      </w:r>
      <w:r>
        <w:rPr>
          <w:rFonts w:eastAsia="Times New Roman"/>
        </w:rPr>
        <w:t xml:space="preserve"> tre externa </w:t>
      </w:r>
      <w:r w:rsidRPr="00C454D0">
        <w:rPr>
          <w:rFonts w:eastAsia="Times New Roman"/>
        </w:rPr>
        <w:t xml:space="preserve">forskare </w:t>
      </w:r>
      <w:r>
        <w:rPr>
          <w:rFonts w:eastAsia="Times New Roman"/>
        </w:rPr>
        <w:t>och två granskare</w:t>
      </w:r>
      <w:r w:rsidR="00BD5329">
        <w:rPr>
          <w:rFonts w:eastAsia="Times New Roman"/>
        </w:rPr>
        <w:t xml:space="preserve"> namnges</w:t>
      </w:r>
      <w:r>
        <w:rPr>
          <w:rFonts w:eastAsia="Times New Roman"/>
        </w:rPr>
        <w:t xml:space="preserve">. Namnen </w:t>
      </w:r>
      <w:r w:rsidR="00BD5329">
        <w:rPr>
          <w:rFonts w:eastAsia="Times New Roman"/>
        </w:rPr>
        <w:t>upprepas</w:t>
      </w:r>
      <w:r>
        <w:rPr>
          <w:rFonts w:eastAsia="Times New Roman"/>
        </w:rPr>
        <w:t xml:space="preserve"> i förordet, i vilket instit</w:t>
      </w:r>
      <w:r w:rsidR="00B20B2F">
        <w:rPr>
          <w:rFonts w:eastAsia="Times New Roman"/>
        </w:rPr>
        <w:t>utets tidigare chef Len</w:t>
      </w:r>
      <w:r w:rsidR="00BD5329">
        <w:rPr>
          <w:rFonts w:eastAsia="Times New Roman"/>
        </w:rPr>
        <w:t>a</w:t>
      </w:r>
      <w:r w:rsidR="00B20B2F">
        <w:rPr>
          <w:rFonts w:eastAsia="Times New Roman"/>
        </w:rPr>
        <w:t xml:space="preserve"> Adamson </w:t>
      </w:r>
      <w:r>
        <w:rPr>
          <w:rFonts w:eastAsia="Times New Roman"/>
        </w:rPr>
        <w:t xml:space="preserve">tackar </w:t>
      </w:r>
      <w:r w:rsidR="00B20B2F">
        <w:rPr>
          <w:rFonts w:eastAsia="Times New Roman"/>
        </w:rPr>
        <w:t xml:space="preserve">alla </w:t>
      </w:r>
      <w:r w:rsidR="00C93807">
        <w:rPr>
          <w:rFonts w:eastAsia="Times New Roman"/>
        </w:rPr>
        <w:t xml:space="preserve">som medverkat </w:t>
      </w:r>
      <w:r w:rsidR="00B20B2F">
        <w:rPr>
          <w:rFonts w:eastAsia="Times New Roman"/>
        </w:rPr>
        <w:t xml:space="preserve">för deras insatser och även nämner fem lärare som ingått i en referensgrupp. </w:t>
      </w:r>
      <w:r w:rsidR="0003792C">
        <w:rPr>
          <w:rFonts w:eastAsia="Times New Roman"/>
        </w:rPr>
        <w:t xml:space="preserve">Förordet följs av ett avsnitt </w:t>
      </w:r>
      <w:r w:rsidR="00F757FA">
        <w:rPr>
          <w:rFonts w:eastAsia="Times New Roman"/>
        </w:rPr>
        <w:t xml:space="preserve">med titeln “Att utveckla undervisningen med </w:t>
      </w:r>
      <w:r w:rsidR="00F757FA" w:rsidRPr="00F757FA">
        <w:rPr>
          <w:rFonts w:eastAsia="Times New Roman"/>
        </w:rPr>
        <w:t>stöd av systematiska översikter</w:t>
      </w:r>
      <w:r w:rsidR="00F757FA">
        <w:rPr>
          <w:rFonts w:eastAsia="Times New Roman"/>
        </w:rPr>
        <w:t xml:space="preserve">”, i vilket </w:t>
      </w:r>
      <w:r w:rsidR="00AB593E">
        <w:rPr>
          <w:rFonts w:eastAsia="Times New Roman"/>
        </w:rPr>
        <w:t xml:space="preserve">syftet med </w:t>
      </w:r>
      <w:r w:rsidR="00F757FA">
        <w:rPr>
          <w:rFonts w:eastAsia="Times New Roman"/>
        </w:rPr>
        <w:t>institutets sammanställningar av forskningsresultat förklaras</w:t>
      </w:r>
      <w:r w:rsidR="00AB593E">
        <w:rPr>
          <w:rFonts w:eastAsia="Times New Roman"/>
        </w:rPr>
        <w:t xml:space="preserve">. </w:t>
      </w:r>
      <w:r w:rsidR="00EA784D">
        <w:rPr>
          <w:rFonts w:eastAsia="Times New Roman"/>
        </w:rPr>
        <w:t xml:space="preserve">Värdet </w:t>
      </w:r>
      <w:r w:rsidR="0003792C">
        <w:rPr>
          <w:rFonts w:eastAsia="Times New Roman"/>
        </w:rPr>
        <w:t xml:space="preserve">av </w:t>
      </w:r>
      <w:r w:rsidR="0003792C" w:rsidRPr="0003792C">
        <w:rPr>
          <w:rFonts w:eastAsia="Times New Roman"/>
        </w:rPr>
        <w:t xml:space="preserve">vetenskaplig kunskap </w:t>
      </w:r>
      <w:r w:rsidR="0003792C">
        <w:rPr>
          <w:rFonts w:eastAsia="Times New Roman"/>
        </w:rPr>
        <w:t xml:space="preserve">för </w:t>
      </w:r>
      <w:r w:rsidR="00C93807">
        <w:rPr>
          <w:rFonts w:eastAsia="Times New Roman"/>
        </w:rPr>
        <w:t xml:space="preserve">pedagogiskt verksamma </w:t>
      </w:r>
      <w:r w:rsidR="00F757FA">
        <w:rPr>
          <w:rFonts w:eastAsia="Times New Roman"/>
        </w:rPr>
        <w:t>beskrivs</w:t>
      </w:r>
      <w:r w:rsidR="00EA784D">
        <w:rPr>
          <w:rFonts w:eastAsia="Times New Roman"/>
        </w:rPr>
        <w:t xml:space="preserve"> </w:t>
      </w:r>
      <w:r w:rsidR="0003792C">
        <w:rPr>
          <w:rFonts w:eastAsia="Times New Roman"/>
        </w:rPr>
        <w:t xml:space="preserve">på ett sätt som </w:t>
      </w:r>
      <w:r w:rsidR="00FE410D">
        <w:rPr>
          <w:rFonts w:eastAsia="Times New Roman"/>
        </w:rPr>
        <w:t xml:space="preserve">uppenbart är avsett att </w:t>
      </w:r>
      <w:r w:rsidR="00C97B5A">
        <w:rPr>
          <w:rFonts w:eastAsia="Times New Roman"/>
        </w:rPr>
        <w:t xml:space="preserve">avvärja </w:t>
      </w:r>
      <w:r w:rsidR="00F757FA">
        <w:rPr>
          <w:rFonts w:eastAsia="Times New Roman"/>
        </w:rPr>
        <w:t xml:space="preserve">potentiella </w:t>
      </w:r>
      <w:r w:rsidR="00C97B5A">
        <w:rPr>
          <w:rFonts w:eastAsia="Times New Roman"/>
        </w:rPr>
        <w:t xml:space="preserve">läsares eventuella farhågor om att </w:t>
      </w:r>
      <w:r w:rsidR="00EA784D">
        <w:rPr>
          <w:rFonts w:eastAsia="Times New Roman"/>
        </w:rPr>
        <w:t>institutets översikter</w:t>
      </w:r>
      <w:r w:rsidR="00C97B5A">
        <w:rPr>
          <w:rFonts w:eastAsia="Times New Roman"/>
        </w:rPr>
        <w:t xml:space="preserve"> skulle </w:t>
      </w:r>
      <w:r w:rsidR="00F757FA">
        <w:rPr>
          <w:rFonts w:eastAsia="Times New Roman"/>
        </w:rPr>
        <w:t xml:space="preserve">ha ambitionen att </w:t>
      </w:r>
      <w:r w:rsidR="00C97B5A">
        <w:rPr>
          <w:rFonts w:eastAsia="Times New Roman"/>
        </w:rPr>
        <w:t xml:space="preserve">pådyvla </w:t>
      </w:r>
      <w:r w:rsidR="00EA784D">
        <w:rPr>
          <w:rFonts w:eastAsia="Times New Roman"/>
        </w:rPr>
        <w:t>professionella grupper</w:t>
      </w:r>
      <w:r w:rsidR="00C97B5A">
        <w:rPr>
          <w:rFonts w:eastAsia="Times New Roman"/>
        </w:rPr>
        <w:t xml:space="preserve"> </w:t>
      </w:r>
      <w:r w:rsidR="00EA784D">
        <w:rPr>
          <w:rFonts w:eastAsia="Times New Roman"/>
        </w:rPr>
        <w:t xml:space="preserve">föregivna </w:t>
      </w:r>
      <w:r w:rsidR="00C97B5A">
        <w:rPr>
          <w:rFonts w:eastAsia="Times New Roman"/>
        </w:rPr>
        <w:t xml:space="preserve">sanningar på det sätt </w:t>
      </w:r>
      <w:r w:rsidR="00EA784D">
        <w:rPr>
          <w:rFonts w:eastAsia="Times New Roman"/>
        </w:rPr>
        <w:t xml:space="preserve">konceptet </w:t>
      </w:r>
      <w:r w:rsidR="00C97B5A" w:rsidRPr="00C97B5A">
        <w:rPr>
          <w:rFonts w:eastAsia="Times New Roman"/>
        </w:rPr>
        <w:t xml:space="preserve">evidensbaserad </w:t>
      </w:r>
      <w:r w:rsidR="00C97B5A">
        <w:rPr>
          <w:rFonts w:eastAsia="Times New Roman"/>
        </w:rPr>
        <w:t>praktik ofta har kritiserats för</w:t>
      </w:r>
      <w:r w:rsidR="00EA784D">
        <w:rPr>
          <w:rFonts w:eastAsia="Times New Roman"/>
        </w:rPr>
        <w:t xml:space="preserve"> att göra</w:t>
      </w:r>
      <w:r w:rsidR="00C97B5A">
        <w:rPr>
          <w:rFonts w:eastAsia="Times New Roman"/>
        </w:rPr>
        <w:t xml:space="preserve">. </w:t>
      </w:r>
      <w:r w:rsidR="00EA784D">
        <w:rPr>
          <w:rFonts w:eastAsia="Times New Roman"/>
        </w:rPr>
        <w:t xml:space="preserve">Resultat av </w:t>
      </w:r>
      <w:r w:rsidR="00EA784D" w:rsidRPr="00EA784D">
        <w:rPr>
          <w:rFonts w:eastAsia="Times New Roman"/>
        </w:rPr>
        <w:t xml:space="preserve">vetenskapliga </w:t>
      </w:r>
      <w:r w:rsidR="00EA784D">
        <w:rPr>
          <w:rFonts w:eastAsia="Times New Roman"/>
        </w:rPr>
        <w:t xml:space="preserve">studier utgör en viktig resurs i undervisningen, men </w:t>
      </w:r>
      <w:r w:rsidR="00C93807">
        <w:rPr>
          <w:rFonts w:eastAsia="Times New Roman"/>
        </w:rPr>
        <w:t>det betonas att de</w:t>
      </w:r>
      <w:r w:rsidR="00EA784D">
        <w:rPr>
          <w:rFonts w:eastAsia="Times New Roman"/>
        </w:rPr>
        <w:t xml:space="preserve"> aldrig </w:t>
      </w:r>
      <w:r w:rsidR="00C93807">
        <w:rPr>
          <w:rFonts w:eastAsia="Times New Roman"/>
        </w:rPr>
        <w:t xml:space="preserve">kan </w:t>
      </w:r>
      <w:r w:rsidR="00EA784D">
        <w:rPr>
          <w:rFonts w:eastAsia="Times New Roman"/>
        </w:rPr>
        <w:t>tillämpas ok</w:t>
      </w:r>
      <w:r w:rsidR="00792F1B">
        <w:rPr>
          <w:rFonts w:eastAsia="Times New Roman"/>
        </w:rPr>
        <w:t>ritiskt i specifika situationer.</w:t>
      </w:r>
      <w:r w:rsidR="00EA784D">
        <w:rPr>
          <w:rFonts w:eastAsia="Times New Roman"/>
        </w:rPr>
        <w:t xml:space="preserve"> </w:t>
      </w:r>
      <w:r w:rsidR="00792F1B">
        <w:rPr>
          <w:rFonts w:eastAsia="Times New Roman"/>
        </w:rPr>
        <w:t xml:space="preserve">De </w:t>
      </w:r>
      <w:r w:rsidR="00EA784D">
        <w:rPr>
          <w:rFonts w:eastAsia="Times New Roman"/>
        </w:rPr>
        <w:t xml:space="preserve">måste </w:t>
      </w:r>
      <w:r w:rsidR="00792F1B">
        <w:rPr>
          <w:rFonts w:eastAsia="Times New Roman"/>
        </w:rPr>
        <w:t xml:space="preserve">istället </w:t>
      </w:r>
      <w:r w:rsidR="00EA784D">
        <w:rPr>
          <w:rFonts w:eastAsia="Times New Roman"/>
        </w:rPr>
        <w:t xml:space="preserve">vägas samman med </w:t>
      </w:r>
      <w:r w:rsidR="00792F1B" w:rsidRPr="00792F1B">
        <w:rPr>
          <w:rFonts w:eastAsia="Times New Roman"/>
        </w:rPr>
        <w:t xml:space="preserve">kunskap </w:t>
      </w:r>
      <w:r w:rsidR="00792F1B">
        <w:rPr>
          <w:rFonts w:eastAsia="Times New Roman"/>
        </w:rPr>
        <w:t>av a</w:t>
      </w:r>
      <w:r w:rsidR="00C93807">
        <w:rPr>
          <w:rFonts w:eastAsia="Times New Roman"/>
        </w:rPr>
        <w:t>nnat slag, vilket innebär att lä</w:t>
      </w:r>
      <w:r w:rsidR="00792F1B">
        <w:rPr>
          <w:rFonts w:eastAsia="Times New Roman"/>
        </w:rPr>
        <w:t xml:space="preserve">rarnas erfarenhet och omdömesförmåga är av central betydelse. </w:t>
      </w:r>
      <w:r w:rsidR="00781A83">
        <w:rPr>
          <w:rFonts w:eastAsia="Times New Roman"/>
        </w:rPr>
        <w:t xml:space="preserve">I avsnittet ges även </w:t>
      </w:r>
      <w:r w:rsidR="00792F1B">
        <w:rPr>
          <w:rFonts w:eastAsia="Times New Roman"/>
        </w:rPr>
        <w:t xml:space="preserve">en bild av </w:t>
      </w:r>
      <w:r w:rsidR="00781A83">
        <w:rPr>
          <w:rFonts w:eastAsia="Times New Roman"/>
        </w:rPr>
        <w:t xml:space="preserve">processen bakom </w:t>
      </w:r>
      <w:r w:rsidR="00EA784D" w:rsidRPr="0003792C">
        <w:rPr>
          <w:rFonts w:eastAsia="Times New Roman"/>
        </w:rPr>
        <w:t>systematiska översikter</w:t>
      </w:r>
      <w:r w:rsidR="00792F1B">
        <w:rPr>
          <w:rFonts w:eastAsia="Times New Roman"/>
        </w:rPr>
        <w:t>, med</w:t>
      </w:r>
      <w:r w:rsidR="00EA784D">
        <w:rPr>
          <w:rFonts w:eastAsia="Times New Roman"/>
        </w:rPr>
        <w:t xml:space="preserve"> </w:t>
      </w:r>
      <w:r w:rsidR="00792F1B">
        <w:rPr>
          <w:rFonts w:eastAsia="Times New Roman"/>
        </w:rPr>
        <w:t>en kortfattad beskrivning</w:t>
      </w:r>
      <w:r w:rsidR="00EA784D">
        <w:rPr>
          <w:rFonts w:eastAsia="Times New Roman"/>
        </w:rPr>
        <w:t xml:space="preserve"> </w:t>
      </w:r>
      <w:r w:rsidR="00792F1B">
        <w:rPr>
          <w:rFonts w:eastAsia="Times New Roman"/>
        </w:rPr>
        <w:t xml:space="preserve">av </w:t>
      </w:r>
      <w:r w:rsidR="00E22762">
        <w:rPr>
          <w:rFonts w:eastAsia="Times New Roman"/>
        </w:rPr>
        <w:t>sex stadier.</w:t>
      </w:r>
      <w:r w:rsidR="00F757FA">
        <w:rPr>
          <w:rFonts w:eastAsia="Times New Roman"/>
        </w:rPr>
        <w:t xml:space="preserve"> Redogörelsen avslutas med en </w:t>
      </w:r>
      <w:r w:rsidR="00605795">
        <w:rPr>
          <w:rFonts w:eastAsia="Times New Roman"/>
        </w:rPr>
        <w:t>generell avsikt</w:t>
      </w:r>
      <w:r w:rsidR="00781A83">
        <w:rPr>
          <w:rFonts w:eastAsia="Times New Roman"/>
        </w:rPr>
        <w:t>sförklaring:</w:t>
      </w:r>
    </w:p>
    <w:p w14:paraId="0C7C5F96" w14:textId="77777777" w:rsidR="00F757FA" w:rsidRDefault="00F757FA" w:rsidP="00792F1B">
      <w:pPr>
        <w:rPr>
          <w:rFonts w:eastAsia="Times New Roman"/>
        </w:rPr>
      </w:pPr>
    </w:p>
    <w:p w14:paraId="1A6BA3B5" w14:textId="77777777" w:rsidR="00F757FA" w:rsidRDefault="00F20D42" w:rsidP="00F20D42">
      <w:pPr>
        <w:pStyle w:val="Cit"/>
      </w:pPr>
      <w:r w:rsidRPr="00F20D42">
        <w:t>Arbetet bedrivs i projekt i vilk</w:t>
      </w:r>
      <w:r>
        <w:t xml:space="preserve">a flera olika kompetenser finns </w:t>
      </w:r>
      <w:r w:rsidRPr="00F20D42">
        <w:t>representerade. Målet är att</w:t>
      </w:r>
      <w:r>
        <w:t xml:space="preserve"> </w:t>
      </w:r>
      <w:r w:rsidRPr="00F20D42">
        <w:t>presentera så opåverka</w:t>
      </w:r>
      <w:r>
        <w:t xml:space="preserve">de svar på </w:t>
      </w:r>
      <w:r w:rsidRPr="00F20D42">
        <w:lastRenderedPageBreak/>
        <w:t>översiktens frågeställning som möjligt. Arbetet kännetecknas</w:t>
      </w:r>
      <w:r>
        <w:t xml:space="preserve"> </w:t>
      </w:r>
      <w:r w:rsidRPr="00F20D42">
        <w:t>av utpräglad systematik och transparens.</w:t>
      </w:r>
      <w:r>
        <w:t xml:space="preserve"> (Lärresurser förskola, vii-ix)</w:t>
      </w:r>
      <w:r>
        <w:rPr>
          <w:rStyle w:val="Fotnotsreferens"/>
        </w:rPr>
        <w:footnoteReference w:id="4"/>
      </w:r>
    </w:p>
    <w:p w14:paraId="2E7422A8" w14:textId="77777777" w:rsidR="00F20D42" w:rsidRDefault="00F20D42" w:rsidP="00F20D42">
      <w:pPr>
        <w:rPr>
          <w:rFonts w:eastAsia="Times New Roman"/>
        </w:rPr>
      </w:pPr>
    </w:p>
    <w:p w14:paraId="386260F2" w14:textId="77777777" w:rsidR="00792F1B" w:rsidRDefault="008F24E9" w:rsidP="00792F1B">
      <w:pPr>
        <w:rPr>
          <w:rFonts w:eastAsia="Times New Roman"/>
        </w:rPr>
      </w:pPr>
      <w:r>
        <w:rPr>
          <w:rFonts w:eastAsia="Times New Roman"/>
        </w:rPr>
        <w:t xml:space="preserve">Av vad </w:t>
      </w:r>
      <w:r w:rsidR="00482619">
        <w:rPr>
          <w:rFonts w:eastAsia="Times New Roman"/>
        </w:rPr>
        <w:t xml:space="preserve">slutsatserna bör </w:t>
      </w:r>
      <w:r w:rsidR="00E24851">
        <w:rPr>
          <w:rFonts w:eastAsia="Times New Roman"/>
        </w:rPr>
        <w:t xml:space="preserve">vara opåverkade förklaras inte </w:t>
      </w:r>
      <w:r>
        <w:rPr>
          <w:rFonts w:eastAsia="Times New Roman"/>
        </w:rPr>
        <w:t>närmare</w:t>
      </w:r>
      <w:r w:rsidR="00E24851">
        <w:rPr>
          <w:rFonts w:eastAsia="Times New Roman"/>
        </w:rPr>
        <w:t xml:space="preserve">, men </w:t>
      </w:r>
      <w:r>
        <w:rPr>
          <w:rFonts w:eastAsia="Times New Roman"/>
        </w:rPr>
        <w:t xml:space="preserve">av </w:t>
      </w:r>
      <w:r w:rsidR="00E24851">
        <w:rPr>
          <w:rFonts w:eastAsia="Times New Roman"/>
        </w:rPr>
        <w:t xml:space="preserve">sammanhanget </w:t>
      </w:r>
      <w:r>
        <w:rPr>
          <w:rFonts w:eastAsia="Times New Roman"/>
        </w:rPr>
        <w:t xml:space="preserve">kan man gissa sig till </w:t>
      </w:r>
      <w:r w:rsidR="00E24851">
        <w:rPr>
          <w:rFonts w:eastAsia="Times New Roman"/>
        </w:rPr>
        <w:t xml:space="preserve">att formuleringen syftar på allt som inte är systematiskt och transparent, dvs </w:t>
      </w:r>
      <w:r w:rsidR="00380630">
        <w:rPr>
          <w:rFonts w:eastAsia="Times New Roman"/>
        </w:rPr>
        <w:t xml:space="preserve">strikt </w:t>
      </w:r>
      <w:r w:rsidR="00E24851">
        <w:rPr>
          <w:rFonts w:eastAsia="Times New Roman"/>
        </w:rPr>
        <w:t xml:space="preserve">formaliserat. Hela avsnittet </w:t>
      </w:r>
      <w:r>
        <w:rPr>
          <w:rFonts w:eastAsia="Times New Roman"/>
        </w:rPr>
        <w:t xml:space="preserve">har förts in på de inledande sidorna av </w:t>
      </w:r>
      <w:r w:rsidR="00792F1B">
        <w:rPr>
          <w:rFonts w:eastAsia="Times New Roman"/>
        </w:rPr>
        <w:t>var och en av de tre rapporterna.</w:t>
      </w:r>
      <w:r w:rsidR="00E22762">
        <w:rPr>
          <w:rFonts w:eastAsia="Times New Roman"/>
        </w:rPr>
        <w:t xml:space="preserve"> </w:t>
      </w:r>
    </w:p>
    <w:p w14:paraId="312DFC8E" w14:textId="77777777" w:rsidR="00792F1B" w:rsidRDefault="00792F1B" w:rsidP="00C454D0">
      <w:pPr>
        <w:rPr>
          <w:rFonts w:eastAsia="Times New Roman"/>
        </w:rPr>
      </w:pPr>
    </w:p>
    <w:p w14:paraId="4C3EA8DB" w14:textId="77777777" w:rsidR="00E24851" w:rsidRDefault="006A1FAF" w:rsidP="00C454D0">
      <w:pPr>
        <w:rPr>
          <w:rFonts w:eastAsia="Times New Roman"/>
        </w:rPr>
      </w:pPr>
      <w:r w:rsidRPr="006A1FAF">
        <w:rPr>
          <w:rFonts w:eastAsia="Times New Roman"/>
        </w:rPr>
        <w:t>Översi</w:t>
      </w:r>
      <w:r>
        <w:rPr>
          <w:rFonts w:eastAsia="Times New Roman"/>
        </w:rPr>
        <w:t>ktens ämne är värdet av digitala lärresurser, tillgängliga på läsplattor</w:t>
      </w:r>
      <w:r w:rsidR="00F46353">
        <w:rPr>
          <w:rFonts w:eastAsia="Times New Roman"/>
        </w:rPr>
        <w:t xml:space="preserve"> och i datorer</w:t>
      </w:r>
      <w:r>
        <w:rPr>
          <w:rFonts w:eastAsia="Times New Roman"/>
        </w:rPr>
        <w:t xml:space="preserve">, i matematikundervisning. De litteratursökningar som gjordes gav drygt 9500 träffar, av vilka 85 återstod efter relevans- och kvalitetsgranskning. </w:t>
      </w:r>
      <w:r w:rsidR="00695DEC">
        <w:rPr>
          <w:rFonts w:eastAsia="Times New Roman"/>
        </w:rPr>
        <w:t xml:space="preserve">Samtliga </w:t>
      </w:r>
      <w:r w:rsidR="00AE5F96">
        <w:rPr>
          <w:rFonts w:eastAsia="Times New Roman"/>
        </w:rPr>
        <w:t xml:space="preserve">85 </w:t>
      </w:r>
      <w:r w:rsidR="00695DEC">
        <w:rPr>
          <w:rFonts w:eastAsia="Times New Roman"/>
        </w:rPr>
        <w:t>studie</w:t>
      </w:r>
      <w:r w:rsidR="0096076B">
        <w:rPr>
          <w:rFonts w:eastAsia="Times New Roman"/>
        </w:rPr>
        <w:t xml:space="preserve">r </w:t>
      </w:r>
      <w:r w:rsidR="00AE5F96">
        <w:rPr>
          <w:rFonts w:eastAsia="Times New Roman"/>
        </w:rPr>
        <w:t>utgjorde</w:t>
      </w:r>
      <w:r w:rsidR="0096076B">
        <w:rPr>
          <w:rFonts w:eastAsia="Times New Roman"/>
        </w:rPr>
        <w:t xml:space="preserve"> kontrollerade experiment</w:t>
      </w:r>
      <w:r w:rsidR="00841BE5">
        <w:rPr>
          <w:rFonts w:eastAsia="Times New Roman"/>
        </w:rPr>
        <w:t xml:space="preserve"> vars resultat redovisades i </w:t>
      </w:r>
      <w:r w:rsidR="00FA3C72">
        <w:rPr>
          <w:rFonts w:eastAsia="Times New Roman"/>
        </w:rPr>
        <w:t>termer</w:t>
      </w:r>
      <w:r w:rsidR="00841BE5">
        <w:rPr>
          <w:rFonts w:eastAsia="Times New Roman"/>
        </w:rPr>
        <w:t xml:space="preserve"> av den effek</w:t>
      </w:r>
      <w:r w:rsidR="00FA3C72">
        <w:rPr>
          <w:rFonts w:eastAsia="Times New Roman"/>
        </w:rPr>
        <w:t xml:space="preserve">t </w:t>
      </w:r>
      <w:r w:rsidR="0096076B">
        <w:rPr>
          <w:rFonts w:eastAsia="Times New Roman"/>
        </w:rPr>
        <w:t>på barnens/elevern</w:t>
      </w:r>
      <w:r w:rsidR="006C5F13">
        <w:rPr>
          <w:rFonts w:eastAsia="Times New Roman"/>
        </w:rPr>
        <w:t>a</w:t>
      </w:r>
      <w:r w:rsidR="0096076B">
        <w:rPr>
          <w:rFonts w:eastAsia="Times New Roman"/>
        </w:rPr>
        <w:t>s kunskapsutveckling</w:t>
      </w:r>
      <w:r w:rsidR="00FA3C72">
        <w:rPr>
          <w:rFonts w:eastAsia="Times New Roman"/>
        </w:rPr>
        <w:t xml:space="preserve"> som kunde up</w:t>
      </w:r>
      <w:r w:rsidR="0096076B">
        <w:rPr>
          <w:rFonts w:eastAsia="Times New Roman"/>
        </w:rPr>
        <w:t>pmätas efter avslutad experimen</w:t>
      </w:r>
      <w:r w:rsidR="00FA3C72">
        <w:rPr>
          <w:rFonts w:eastAsia="Times New Roman"/>
        </w:rPr>
        <w:t xml:space="preserve">tperiod. </w:t>
      </w:r>
      <w:r w:rsidR="00D45D53">
        <w:rPr>
          <w:rFonts w:eastAsia="Times New Roman"/>
        </w:rPr>
        <w:t xml:space="preserve">På </w:t>
      </w:r>
      <w:r w:rsidR="00FA3C72">
        <w:rPr>
          <w:rFonts w:eastAsia="Times New Roman"/>
        </w:rPr>
        <w:t>basis av elevernas ålder</w:t>
      </w:r>
      <w:r w:rsidR="00D45D53">
        <w:rPr>
          <w:rFonts w:eastAsia="Times New Roman"/>
        </w:rPr>
        <w:t xml:space="preserve"> delades studierna </w:t>
      </w:r>
      <w:r w:rsidR="00FA3C72">
        <w:rPr>
          <w:rFonts w:eastAsia="Times New Roman"/>
        </w:rPr>
        <w:t xml:space="preserve">in </w:t>
      </w:r>
      <w:r w:rsidR="00D45D53">
        <w:rPr>
          <w:rFonts w:eastAsia="Times New Roman"/>
        </w:rPr>
        <w:t xml:space="preserve">i fem </w:t>
      </w:r>
      <w:r w:rsidR="00FA3C72">
        <w:rPr>
          <w:rFonts w:eastAsia="Times New Roman"/>
        </w:rPr>
        <w:t>grupper,</w:t>
      </w:r>
      <w:r w:rsidR="00D45D53">
        <w:rPr>
          <w:rFonts w:eastAsia="Times New Roman"/>
        </w:rPr>
        <w:t xml:space="preserve"> en vardera för </w:t>
      </w:r>
      <w:r w:rsidR="00EA68E4">
        <w:rPr>
          <w:rFonts w:eastAsia="Times New Roman"/>
        </w:rPr>
        <w:t xml:space="preserve">vad som i Sverige </w:t>
      </w:r>
      <w:r w:rsidR="00FA3C72">
        <w:rPr>
          <w:rFonts w:eastAsia="Times New Roman"/>
        </w:rPr>
        <w:t>skulle motsvara förskola, årskurs 1-3, årskurs 4-6</w:t>
      </w:r>
      <w:r w:rsidR="00EA68E4">
        <w:rPr>
          <w:rFonts w:eastAsia="Times New Roman"/>
        </w:rPr>
        <w:t xml:space="preserve"> respektive årskurs 7-9 och gymnasiet. </w:t>
      </w:r>
      <w:r w:rsidR="00B25A05">
        <w:rPr>
          <w:rFonts w:eastAsia="Times New Roman"/>
        </w:rPr>
        <w:t xml:space="preserve">10 </w:t>
      </w:r>
      <w:r w:rsidR="00FA3C72">
        <w:rPr>
          <w:rFonts w:eastAsia="Times New Roman"/>
        </w:rPr>
        <w:t xml:space="preserve">av </w:t>
      </w:r>
      <w:r w:rsidR="00B25A05">
        <w:rPr>
          <w:rFonts w:eastAsia="Times New Roman"/>
        </w:rPr>
        <w:t>studier</w:t>
      </w:r>
      <w:r w:rsidR="00FA3C72">
        <w:rPr>
          <w:rFonts w:eastAsia="Times New Roman"/>
        </w:rPr>
        <w:t>na</w:t>
      </w:r>
      <w:r w:rsidR="00B25A05">
        <w:rPr>
          <w:rFonts w:eastAsia="Times New Roman"/>
        </w:rPr>
        <w:t xml:space="preserve"> gällde förskolan, </w:t>
      </w:r>
      <w:r w:rsidR="00FA3C72">
        <w:rPr>
          <w:rFonts w:eastAsia="Times New Roman"/>
        </w:rPr>
        <w:t xml:space="preserve">och </w:t>
      </w:r>
      <w:r w:rsidR="00B25A05">
        <w:rPr>
          <w:rFonts w:eastAsia="Times New Roman"/>
        </w:rPr>
        <w:t xml:space="preserve">behandlas i översiktens första del, medan övriga 75 studier diskuteras i </w:t>
      </w:r>
      <w:r w:rsidR="00FA3C72">
        <w:rPr>
          <w:rFonts w:eastAsia="Times New Roman"/>
        </w:rPr>
        <w:t>den</w:t>
      </w:r>
      <w:r w:rsidR="00B25A05">
        <w:rPr>
          <w:rFonts w:eastAsia="Times New Roman"/>
        </w:rPr>
        <w:t xml:space="preserve"> andra</w:t>
      </w:r>
      <w:r w:rsidR="00FA3C72">
        <w:rPr>
          <w:rFonts w:eastAsia="Times New Roman"/>
        </w:rPr>
        <w:t>,</w:t>
      </w:r>
      <w:r w:rsidR="00B25A05">
        <w:rPr>
          <w:rFonts w:eastAsia="Times New Roman"/>
        </w:rPr>
        <w:t xml:space="preserve"> </w:t>
      </w:r>
      <w:r w:rsidR="00FA3C72">
        <w:rPr>
          <w:rFonts w:eastAsia="Times New Roman"/>
        </w:rPr>
        <w:t>längre rapporten</w:t>
      </w:r>
      <w:r w:rsidR="00B25A05">
        <w:rPr>
          <w:rFonts w:eastAsia="Times New Roman"/>
        </w:rPr>
        <w:t xml:space="preserve">. </w:t>
      </w:r>
      <w:r w:rsidR="005D4AAD">
        <w:rPr>
          <w:rFonts w:eastAsia="Times New Roman"/>
        </w:rPr>
        <w:t xml:space="preserve">Översikten </w:t>
      </w:r>
      <w:r w:rsidR="00FC0A09">
        <w:rPr>
          <w:rFonts w:eastAsia="Times New Roman"/>
        </w:rPr>
        <w:t>som helhet</w:t>
      </w:r>
      <w:r w:rsidR="00B25A05">
        <w:rPr>
          <w:rFonts w:eastAsia="Times New Roman"/>
        </w:rPr>
        <w:t xml:space="preserve"> </w:t>
      </w:r>
      <w:r w:rsidR="005D4AAD">
        <w:rPr>
          <w:rFonts w:eastAsia="Times New Roman"/>
        </w:rPr>
        <w:t xml:space="preserve">är avsedd att besvara </w:t>
      </w:r>
      <w:r w:rsidR="00FC0A09">
        <w:rPr>
          <w:rFonts w:eastAsia="Times New Roman"/>
        </w:rPr>
        <w:t>två</w:t>
      </w:r>
      <w:r w:rsidR="005D4AAD">
        <w:rPr>
          <w:rFonts w:eastAsia="Times New Roman"/>
        </w:rPr>
        <w:t xml:space="preserve"> frågor</w:t>
      </w:r>
      <w:r w:rsidR="00B25A05">
        <w:rPr>
          <w:rFonts w:eastAsia="Times New Roman"/>
        </w:rPr>
        <w:t>:</w:t>
      </w:r>
    </w:p>
    <w:p w14:paraId="1AE0A829" w14:textId="77777777" w:rsidR="00B25A05" w:rsidRDefault="00B25A05" w:rsidP="00C454D0">
      <w:pPr>
        <w:rPr>
          <w:rFonts w:eastAsia="Times New Roman"/>
        </w:rPr>
      </w:pPr>
    </w:p>
    <w:p w14:paraId="379FF520" w14:textId="77777777" w:rsidR="00DE0C49" w:rsidRPr="00DE0C49" w:rsidRDefault="00DE0C49" w:rsidP="00695DEC">
      <w:pPr>
        <w:pStyle w:val="Cit"/>
      </w:pPr>
      <w:r>
        <w:t xml:space="preserve">1. </w:t>
      </w:r>
      <w:r w:rsidRPr="00DE0C49">
        <w:t>Vilka effekter har matematikundervisning med digitala lärresurser på</w:t>
      </w:r>
      <w:r w:rsidR="00695DEC">
        <w:t xml:space="preserve"> </w:t>
      </w:r>
      <w:r w:rsidRPr="00DE0C49">
        <w:t>elevers kunskaper i matematik?</w:t>
      </w:r>
    </w:p>
    <w:p w14:paraId="0E8BAA5D" w14:textId="77777777" w:rsidR="00B25A05" w:rsidRDefault="00DE0C49" w:rsidP="00695DEC">
      <w:pPr>
        <w:pStyle w:val="Cit"/>
      </w:pPr>
      <w:r>
        <w:t xml:space="preserve">2. </w:t>
      </w:r>
      <w:r w:rsidRPr="00DE0C49">
        <w:t>Vad kan förklara om en matematikundervisning med digitala lärresurser</w:t>
      </w:r>
      <w:r>
        <w:t xml:space="preserve"> </w:t>
      </w:r>
      <w:r w:rsidRPr="00DE0C49">
        <w:t>har effekt eller inte på elevers kunskaper i matematik?</w:t>
      </w:r>
    </w:p>
    <w:p w14:paraId="1F136E2E" w14:textId="77777777" w:rsidR="00DE0C49" w:rsidRDefault="00DE0C49" w:rsidP="00DE0C49">
      <w:pPr>
        <w:rPr>
          <w:rFonts w:eastAsia="Times New Roman"/>
        </w:rPr>
      </w:pPr>
    </w:p>
    <w:p w14:paraId="47769D9F" w14:textId="77777777" w:rsidR="009A659E" w:rsidRDefault="009A659E" w:rsidP="00DE0C49">
      <w:pPr>
        <w:rPr>
          <w:rFonts w:eastAsia="Times New Roman"/>
        </w:rPr>
      </w:pPr>
      <w:r>
        <w:rPr>
          <w:rFonts w:eastAsia="Times New Roman"/>
        </w:rPr>
        <w:t xml:space="preserve">Givet den </w:t>
      </w:r>
      <w:r w:rsidR="002550CB">
        <w:rPr>
          <w:rFonts w:eastAsia="Times New Roman"/>
        </w:rPr>
        <w:t>andra frågan</w:t>
      </w:r>
      <w:r w:rsidR="003047A9">
        <w:rPr>
          <w:rFonts w:eastAsia="Times New Roman"/>
        </w:rPr>
        <w:t>s</w:t>
      </w:r>
      <w:r>
        <w:rPr>
          <w:rFonts w:eastAsia="Times New Roman"/>
        </w:rPr>
        <w:t xml:space="preserve"> </w:t>
      </w:r>
      <w:r w:rsidR="003047A9">
        <w:rPr>
          <w:rFonts w:eastAsia="Times New Roman"/>
        </w:rPr>
        <w:t>formulering</w:t>
      </w:r>
      <w:r w:rsidR="002550CB">
        <w:rPr>
          <w:rFonts w:eastAsia="Times New Roman"/>
        </w:rPr>
        <w:t xml:space="preserve"> </w:t>
      </w:r>
      <w:r>
        <w:rPr>
          <w:rFonts w:eastAsia="Times New Roman"/>
        </w:rPr>
        <w:t xml:space="preserve">skulle en modifiering av ordalydelsen i den första ha </w:t>
      </w:r>
      <w:r w:rsidR="00731F4F">
        <w:rPr>
          <w:rFonts w:eastAsia="Times New Roman"/>
        </w:rPr>
        <w:t>gjort logiken än klarare</w:t>
      </w:r>
      <w:r>
        <w:rPr>
          <w:rFonts w:eastAsia="Times New Roman"/>
        </w:rPr>
        <w:t xml:space="preserve">; frågan kunde ha gällt huruvida </w:t>
      </w:r>
      <w:r w:rsidRPr="00DE0C49">
        <w:t>lärresurser</w:t>
      </w:r>
      <w:r>
        <w:t xml:space="preserve">na ifråga </w:t>
      </w:r>
      <w:r w:rsidRPr="009A659E">
        <w:rPr>
          <w:i/>
        </w:rPr>
        <w:t xml:space="preserve">har </w:t>
      </w:r>
      <w:r>
        <w:t>effekter.</w:t>
      </w:r>
      <w:r w:rsidR="000F3B5D">
        <w:t xml:space="preserve"> Viktigare, dock, är att </w:t>
      </w:r>
      <w:r w:rsidR="000F3B5D">
        <w:rPr>
          <w:rFonts w:eastAsia="Times New Roman"/>
        </w:rPr>
        <w:t>den andra frågan förutsätter att den första besvaras. Fråga nr 2 utgör ett tydligt andra steg i en analys av de utvalda studierna.</w:t>
      </w:r>
    </w:p>
    <w:p w14:paraId="2C89BE78" w14:textId="77777777" w:rsidR="00DE0C49" w:rsidRDefault="00DE0C49" w:rsidP="00DE0C49">
      <w:pPr>
        <w:rPr>
          <w:rFonts w:eastAsia="Times New Roman"/>
        </w:rPr>
      </w:pPr>
    </w:p>
    <w:p w14:paraId="3B5CD60A" w14:textId="77777777" w:rsidR="009A659E" w:rsidRDefault="004809A3" w:rsidP="00DE0C49">
      <w:pPr>
        <w:rPr>
          <w:rFonts w:eastAsia="Times New Roman"/>
        </w:rPr>
      </w:pPr>
      <w:r>
        <w:rPr>
          <w:rFonts w:eastAsia="Times New Roman"/>
        </w:rPr>
        <w:t xml:space="preserve">Rapporten omfattar ca 50 </w:t>
      </w:r>
      <w:r w:rsidR="00165E60">
        <w:rPr>
          <w:rFonts w:eastAsia="Times New Roman"/>
        </w:rPr>
        <w:t>sidor,</w:t>
      </w:r>
      <w:r>
        <w:rPr>
          <w:rFonts w:eastAsia="Times New Roman"/>
        </w:rPr>
        <w:t xml:space="preserve"> </w:t>
      </w:r>
      <w:r w:rsidR="00165E60">
        <w:rPr>
          <w:rFonts w:eastAsia="Times New Roman"/>
        </w:rPr>
        <w:t xml:space="preserve">vartill </w:t>
      </w:r>
      <w:r>
        <w:rPr>
          <w:rFonts w:eastAsia="Times New Roman"/>
        </w:rPr>
        <w:t xml:space="preserve">kommer sex bilagor </w:t>
      </w:r>
      <w:r w:rsidR="00165E60">
        <w:rPr>
          <w:rFonts w:eastAsia="Times New Roman"/>
        </w:rPr>
        <w:t xml:space="preserve">som är </w:t>
      </w:r>
      <w:r>
        <w:rPr>
          <w:rFonts w:eastAsia="Times New Roman"/>
        </w:rPr>
        <w:t>tillgängliga via institutets hemsida</w:t>
      </w:r>
      <w:r w:rsidR="00165E60">
        <w:rPr>
          <w:rFonts w:eastAsia="Times New Roman"/>
        </w:rPr>
        <w:t xml:space="preserve">, i vilka bl a sökstrategi och kriterier för kvalitetsbedömning redovisas. </w:t>
      </w:r>
      <w:r w:rsidR="00B029F8">
        <w:rPr>
          <w:rFonts w:eastAsia="Times New Roman"/>
        </w:rPr>
        <w:t xml:space="preserve">I </w:t>
      </w:r>
      <w:r w:rsidR="00C54350">
        <w:rPr>
          <w:rFonts w:eastAsia="Times New Roman"/>
        </w:rPr>
        <w:t>ett kort</w:t>
      </w:r>
      <w:r w:rsidR="00B029F8">
        <w:rPr>
          <w:rFonts w:eastAsia="Times New Roman"/>
        </w:rPr>
        <w:t xml:space="preserve"> inledande </w:t>
      </w:r>
      <w:r w:rsidR="00486FDE">
        <w:rPr>
          <w:rFonts w:eastAsia="Times New Roman"/>
        </w:rPr>
        <w:t>kapitel</w:t>
      </w:r>
      <w:r w:rsidR="00B029F8">
        <w:rPr>
          <w:rFonts w:eastAsia="Times New Roman"/>
        </w:rPr>
        <w:t xml:space="preserve"> ges en bakgrund med motivering av rapportens ämnesval, </w:t>
      </w:r>
      <w:r w:rsidR="00C54350">
        <w:rPr>
          <w:rFonts w:eastAsia="Times New Roman"/>
        </w:rPr>
        <w:t xml:space="preserve">varpå följer ett </w:t>
      </w:r>
      <w:r w:rsidR="00486FDE">
        <w:rPr>
          <w:rFonts w:eastAsia="Times New Roman"/>
        </w:rPr>
        <w:t>kapitel</w:t>
      </w:r>
      <w:r w:rsidR="00C54350">
        <w:rPr>
          <w:rFonts w:eastAsia="Times New Roman"/>
        </w:rPr>
        <w:t xml:space="preserve"> som beskriver rapportens uppbyggnad och förklarar hur den hänger samman med översiktens andra delrapport. </w:t>
      </w:r>
      <w:r w:rsidR="00771E0F">
        <w:rPr>
          <w:rFonts w:eastAsia="Times New Roman"/>
        </w:rPr>
        <w:t xml:space="preserve">I detta </w:t>
      </w:r>
      <w:r w:rsidR="00486FDE">
        <w:rPr>
          <w:rFonts w:eastAsia="Times New Roman"/>
        </w:rPr>
        <w:t>kapitel</w:t>
      </w:r>
      <w:r w:rsidR="00771E0F">
        <w:rPr>
          <w:rFonts w:eastAsia="Times New Roman"/>
        </w:rPr>
        <w:t xml:space="preserve"> ges även en </w:t>
      </w:r>
      <w:r w:rsidR="00BF23D7">
        <w:rPr>
          <w:rFonts w:eastAsia="Times New Roman"/>
        </w:rPr>
        <w:lastRenderedPageBreak/>
        <w:t>redogör</w:t>
      </w:r>
      <w:r w:rsidR="00771E0F">
        <w:rPr>
          <w:rFonts w:eastAsia="Times New Roman"/>
        </w:rPr>
        <w:t>else</w:t>
      </w:r>
      <w:r w:rsidR="00BF23D7">
        <w:rPr>
          <w:rFonts w:eastAsia="Times New Roman"/>
        </w:rPr>
        <w:t xml:space="preserve"> för de utvalda studier</w:t>
      </w:r>
      <w:r w:rsidR="00771E0F">
        <w:rPr>
          <w:rFonts w:eastAsia="Times New Roman"/>
        </w:rPr>
        <w:t xml:space="preserve">nas geografiska </w:t>
      </w:r>
      <w:r w:rsidR="00C97707">
        <w:rPr>
          <w:rFonts w:eastAsia="Times New Roman"/>
        </w:rPr>
        <w:t>fördelning</w:t>
      </w:r>
      <w:r w:rsidR="00771E0F">
        <w:rPr>
          <w:rFonts w:eastAsia="Times New Roman"/>
        </w:rPr>
        <w:t xml:space="preserve">; experimenten </w:t>
      </w:r>
      <w:r w:rsidR="00BF23D7">
        <w:rPr>
          <w:rFonts w:eastAsia="Times New Roman"/>
        </w:rPr>
        <w:t xml:space="preserve">har bl a utförts i Belgien, Israel och USA, </w:t>
      </w:r>
      <w:r w:rsidR="00C97707">
        <w:rPr>
          <w:rFonts w:eastAsia="Times New Roman"/>
        </w:rPr>
        <w:t xml:space="preserve">medan </w:t>
      </w:r>
      <w:r w:rsidR="00BF23D7">
        <w:rPr>
          <w:rFonts w:eastAsia="Times New Roman"/>
        </w:rPr>
        <w:t xml:space="preserve">skandinaviska studier saknas. </w:t>
      </w:r>
      <w:r w:rsidR="007560D6">
        <w:rPr>
          <w:rFonts w:eastAsia="Times New Roman"/>
        </w:rPr>
        <w:t>Ändå är resultaten enligt författarnas uppfattning relevanta för svenska förhållanden, därför att de kunskaper i matematik som har undersökts i stor utsträckning sammanfaller med det som ska förmedlas i svenska förskolor (7).</w:t>
      </w:r>
    </w:p>
    <w:p w14:paraId="738C0C4E" w14:textId="77777777" w:rsidR="007560D6" w:rsidRDefault="007560D6" w:rsidP="00DE0C49">
      <w:pPr>
        <w:rPr>
          <w:rFonts w:eastAsia="Times New Roman"/>
        </w:rPr>
      </w:pPr>
    </w:p>
    <w:p w14:paraId="5EC101E6" w14:textId="77777777" w:rsidR="006432D1" w:rsidRDefault="005A0FD3" w:rsidP="007745F7">
      <w:pPr>
        <w:rPr>
          <w:rFonts w:eastAsia="Times New Roman"/>
        </w:rPr>
      </w:pPr>
      <w:r>
        <w:rPr>
          <w:rFonts w:eastAsia="Times New Roman"/>
        </w:rPr>
        <w:t xml:space="preserve">I </w:t>
      </w:r>
      <w:r w:rsidRPr="005A0FD3">
        <w:rPr>
          <w:rFonts w:eastAsia="Times New Roman"/>
        </w:rPr>
        <w:t>systematiska översikter</w:t>
      </w:r>
      <w:r>
        <w:rPr>
          <w:rFonts w:eastAsia="Times New Roman"/>
        </w:rPr>
        <w:t>,</w:t>
      </w:r>
      <w:r w:rsidRPr="005A0FD3">
        <w:rPr>
          <w:rFonts w:eastAsia="Times New Roman"/>
        </w:rPr>
        <w:t xml:space="preserve"> </w:t>
      </w:r>
      <w:r>
        <w:rPr>
          <w:rFonts w:eastAsia="Times New Roman"/>
        </w:rPr>
        <w:t xml:space="preserve">liksom i primärstudier, brukar ett avsnitt eller kapitel om den metod som tillämpats föregå resultatredovisningen, på vilken diskussion och slutsatser </w:t>
      </w:r>
      <w:r w:rsidR="00F15324">
        <w:rPr>
          <w:rFonts w:eastAsia="Times New Roman"/>
        </w:rPr>
        <w:t>sedan följer</w:t>
      </w:r>
      <w:r>
        <w:rPr>
          <w:rFonts w:eastAsia="Times New Roman"/>
        </w:rPr>
        <w:t xml:space="preserve">. I båda de </w:t>
      </w:r>
      <w:r w:rsidRPr="005A0FD3">
        <w:rPr>
          <w:rFonts w:eastAsia="Times New Roman"/>
        </w:rPr>
        <w:t xml:space="preserve">översikter </w:t>
      </w:r>
      <w:r w:rsidR="00BC3AD6">
        <w:rPr>
          <w:rFonts w:eastAsia="Times New Roman"/>
        </w:rPr>
        <w:t xml:space="preserve">som </w:t>
      </w:r>
      <w:r>
        <w:rPr>
          <w:rFonts w:eastAsia="Times New Roman"/>
        </w:rPr>
        <w:t xml:space="preserve">i </w:t>
      </w:r>
      <w:r w:rsidR="00BC3AD6">
        <w:rPr>
          <w:rFonts w:eastAsia="Times New Roman"/>
        </w:rPr>
        <w:t>föreliggande</w:t>
      </w:r>
      <w:r>
        <w:rPr>
          <w:rFonts w:eastAsia="Times New Roman"/>
        </w:rPr>
        <w:t xml:space="preserve"> rapport </w:t>
      </w:r>
      <w:r w:rsidR="00F15324">
        <w:rPr>
          <w:rFonts w:eastAsia="Times New Roman"/>
        </w:rPr>
        <w:t xml:space="preserve">är </w:t>
      </w:r>
      <w:r w:rsidR="00BC3AD6">
        <w:rPr>
          <w:rFonts w:eastAsia="Times New Roman"/>
        </w:rPr>
        <w:t>föremål för gransk</w:t>
      </w:r>
      <w:r w:rsidR="006C5F13">
        <w:rPr>
          <w:rFonts w:eastAsia="Times New Roman"/>
        </w:rPr>
        <w:t>n</w:t>
      </w:r>
      <w:r w:rsidR="00BC3AD6">
        <w:rPr>
          <w:rFonts w:eastAsia="Times New Roman"/>
        </w:rPr>
        <w:t>ing</w:t>
      </w:r>
      <w:r w:rsidR="00F15324">
        <w:rPr>
          <w:rFonts w:eastAsia="Times New Roman"/>
        </w:rPr>
        <w:t xml:space="preserve"> är ordningsfö</w:t>
      </w:r>
      <w:r w:rsidR="006C5F13">
        <w:rPr>
          <w:rFonts w:eastAsia="Times New Roman"/>
        </w:rPr>
        <w:t>l</w:t>
      </w:r>
      <w:r w:rsidR="00F15324">
        <w:rPr>
          <w:rFonts w:eastAsia="Times New Roman"/>
        </w:rPr>
        <w:t>jden den motsatta,</w:t>
      </w:r>
      <w:r w:rsidR="00BC3AD6">
        <w:rPr>
          <w:rFonts w:eastAsia="Times New Roman"/>
        </w:rPr>
        <w:t xml:space="preserve"> </w:t>
      </w:r>
      <w:r w:rsidR="00F15324">
        <w:rPr>
          <w:rFonts w:eastAsia="Times New Roman"/>
        </w:rPr>
        <w:t xml:space="preserve">och </w:t>
      </w:r>
      <w:r>
        <w:rPr>
          <w:rFonts w:eastAsia="Times New Roman"/>
        </w:rPr>
        <w:t>det</w:t>
      </w:r>
      <w:r w:rsidR="00F15324">
        <w:rPr>
          <w:rFonts w:eastAsia="Times New Roman"/>
        </w:rPr>
        <w:t>ta</w:t>
      </w:r>
      <w:r>
        <w:rPr>
          <w:rFonts w:eastAsia="Times New Roman"/>
        </w:rPr>
        <w:t xml:space="preserve"> gäll</w:t>
      </w:r>
      <w:r w:rsidR="00BC3AD6">
        <w:rPr>
          <w:rFonts w:eastAsia="Times New Roman"/>
        </w:rPr>
        <w:t xml:space="preserve">er även delrapporten om digitala lärresurser i förskolan. </w:t>
      </w:r>
      <w:r w:rsidR="00424C4D">
        <w:rPr>
          <w:rFonts w:eastAsia="Times New Roman"/>
        </w:rPr>
        <w:t xml:space="preserve">Resultaten redovisas i kapitel 3, metoden i kapitel 4. Resultatkapitlet är uppbyggt på samma sätt: de generella slutsatserna formuleras i ett inledande avsnitt, medan diskussioner av de enskilda studier på vilka slutsatserna grundas ges senare. Syftet med detta sätt att disponera texten har uppenbarligen varit att göra det mer lättillgängligt för </w:t>
      </w:r>
      <w:r w:rsidR="001D4FFD">
        <w:rPr>
          <w:rFonts w:eastAsia="Times New Roman"/>
        </w:rPr>
        <w:t xml:space="preserve">läsare utan akademisk bakgrund. Skälet till att man redan som avslutning på den text som föregår själva rapporten, alltså </w:t>
      </w:r>
      <w:r w:rsidR="00F15324">
        <w:rPr>
          <w:rFonts w:eastAsia="Times New Roman"/>
        </w:rPr>
        <w:t>i</w:t>
      </w:r>
      <w:r w:rsidR="001D4FFD">
        <w:rPr>
          <w:rFonts w:eastAsia="Times New Roman"/>
        </w:rPr>
        <w:t xml:space="preserve"> ett tredje avsnitt efter förordet och avsnittet om värdet av </w:t>
      </w:r>
      <w:r w:rsidR="001D4FFD" w:rsidRPr="001D4FFD">
        <w:rPr>
          <w:rFonts w:eastAsia="Times New Roman"/>
        </w:rPr>
        <w:t xml:space="preserve">systematiska översikter </w:t>
      </w:r>
      <w:r w:rsidR="001D4FFD">
        <w:rPr>
          <w:rFonts w:eastAsia="Times New Roman"/>
        </w:rPr>
        <w:t>för skolans personal, finner en två sidors sammanfattning av rapportens resultat</w:t>
      </w:r>
      <w:r w:rsidR="00F15324">
        <w:rPr>
          <w:rFonts w:eastAsia="Times New Roman"/>
        </w:rPr>
        <w:t>, är timligen detsamma</w:t>
      </w:r>
      <w:r w:rsidR="001D4FFD">
        <w:rPr>
          <w:rFonts w:eastAsia="Times New Roman"/>
        </w:rPr>
        <w:t>.</w:t>
      </w:r>
      <w:r w:rsidR="00A90D25">
        <w:rPr>
          <w:rFonts w:eastAsia="Times New Roman"/>
        </w:rPr>
        <w:t xml:space="preserve"> Att den lättillgänglighet som måste ha eftersträvats har uppnåtts till priset av att dispositionen </w:t>
      </w:r>
      <w:r w:rsidR="00F15324">
        <w:rPr>
          <w:rFonts w:eastAsia="Times New Roman"/>
        </w:rPr>
        <w:t xml:space="preserve">leder till många </w:t>
      </w:r>
      <w:r w:rsidR="00A90D25">
        <w:rPr>
          <w:rFonts w:eastAsia="Times New Roman"/>
        </w:rPr>
        <w:t xml:space="preserve">upprepningar </w:t>
      </w:r>
      <w:r w:rsidR="00AF093A">
        <w:rPr>
          <w:rFonts w:eastAsia="Times New Roman"/>
        </w:rPr>
        <w:t>behöver kanske inte påpekas, och har förmodligen varit svårt att undvika.</w:t>
      </w:r>
      <w:r w:rsidR="00F15324">
        <w:rPr>
          <w:rFonts w:eastAsia="Times New Roman"/>
        </w:rPr>
        <w:t xml:space="preserve"> </w:t>
      </w:r>
      <w:r w:rsidR="00BC650D">
        <w:rPr>
          <w:rFonts w:eastAsia="Times New Roman"/>
        </w:rPr>
        <w:t>Oavsett hur man bedömer</w:t>
      </w:r>
      <w:r w:rsidR="007505FB">
        <w:rPr>
          <w:rFonts w:eastAsia="Times New Roman"/>
        </w:rPr>
        <w:t xml:space="preserve"> </w:t>
      </w:r>
      <w:r w:rsidR="00F15324">
        <w:rPr>
          <w:rFonts w:eastAsia="Times New Roman"/>
        </w:rPr>
        <w:t xml:space="preserve">för- </w:t>
      </w:r>
      <w:r w:rsidR="00BC650D">
        <w:rPr>
          <w:rFonts w:eastAsia="Times New Roman"/>
        </w:rPr>
        <w:t xml:space="preserve">och </w:t>
      </w:r>
      <w:r w:rsidR="00F15324">
        <w:rPr>
          <w:rFonts w:eastAsia="Times New Roman"/>
        </w:rPr>
        <w:t>nackdelar med den</w:t>
      </w:r>
      <w:r w:rsidR="007505FB">
        <w:rPr>
          <w:rFonts w:eastAsia="Times New Roman"/>
        </w:rPr>
        <w:t>na omvända ordningsföljd</w:t>
      </w:r>
      <w:r w:rsidR="00F15324">
        <w:rPr>
          <w:rFonts w:eastAsia="Times New Roman"/>
        </w:rPr>
        <w:t xml:space="preserve"> </w:t>
      </w:r>
      <w:r w:rsidR="00BC650D">
        <w:rPr>
          <w:rFonts w:eastAsia="Times New Roman"/>
        </w:rPr>
        <w:t xml:space="preserve">kan man konstatera att </w:t>
      </w:r>
      <w:r w:rsidR="00F15324">
        <w:rPr>
          <w:rFonts w:eastAsia="Times New Roman"/>
        </w:rPr>
        <w:t xml:space="preserve">resultatredovisningen </w:t>
      </w:r>
      <w:r w:rsidR="007745F7">
        <w:rPr>
          <w:rFonts w:eastAsia="Times New Roman"/>
        </w:rPr>
        <w:t xml:space="preserve">i kapitel 3 </w:t>
      </w:r>
      <w:r w:rsidR="00BC650D">
        <w:rPr>
          <w:rFonts w:eastAsia="Times New Roman"/>
        </w:rPr>
        <w:t xml:space="preserve">har </w:t>
      </w:r>
      <w:r w:rsidR="007745F7">
        <w:rPr>
          <w:rFonts w:eastAsia="Times New Roman"/>
        </w:rPr>
        <w:t>disponerats på sa</w:t>
      </w:r>
      <w:r w:rsidR="00F15324">
        <w:rPr>
          <w:rFonts w:eastAsia="Times New Roman"/>
        </w:rPr>
        <w:t>mma sätt.</w:t>
      </w:r>
    </w:p>
    <w:p w14:paraId="2D72AE3F" w14:textId="77777777" w:rsidR="00F15324" w:rsidRDefault="00F15324" w:rsidP="007745F7">
      <w:pPr>
        <w:rPr>
          <w:rFonts w:eastAsia="Times New Roman"/>
        </w:rPr>
      </w:pPr>
    </w:p>
    <w:p w14:paraId="23936AA0" w14:textId="77777777" w:rsidR="004853E0" w:rsidRPr="003B7224" w:rsidRDefault="00E53ECC" w:rsidP="007745F7">
      <w:pPr>
        <w:rPr>
          <w:rFonts w:eastAsia="Times New Roman"/>
          <w:i/>
        </w:rPr>
      </w:pPr>
      <w:r w:rsidRPr="003B7224">
        <w:rPr>
          <w:rFonts w:eastAsia="Times New Roman"/>
          <w:i/>
        </w:rPr>
        <w:t>Resultatredovisning</w:t>
      </w:r>
      <w:r w:rsidR="004853E0" w:rsidRPr="003B7224">
        <w:rPr>
          <w:rFonts w:eastAsia="Times New Roman"/>
          <w:i/>
        </w:rPr>
        <w:t xml:space="preserve"> på tre nivåer</w:t>
      </w:r>
    </w:p>
    <w:p w14:paraId="696E3764" w14:textId="77777777" w:rsidR="004853E0" w:rsidRDefault="004853E0" w:rsidP="007745F7">
      <w:pPr>
        <w:rPr>
          <w:rFonts w:eastAsia="Times New Roman"/>
        </w:rPr>
      </w:pPr>
    </w:p>
    <w:p w14:paraId="444FEB2B" w14:textId="6764F68F" w:rsidR="005A0FD3" w:rsidRDefault="006432D1" w:rsidP="007745F7">
      <w:pPr>
        <w:rPr>
          <w:rFonts w:eastAsia="Times New Roman"/>
        </w:rPr>
      </w:pPr>
      <w:r>
        <w:rPr>
          <w:rFonts w:eastAsia="Times New Roman"/>
        </w:rPr>
        <w:t xml:space="preserve">I kapitel 3 </w:t>
      </w:r>
      <w:r w:rsidR="007745F7">
        <w:rPr>
          <w:rFonts w:eastAsia="Times New Roman"/>
        </w:rPr>
        <w:t xml:space="preserve">redovisas </w:t>
      </w:r>
      <w:r>
        <w:rPr>
          <w:rFonts w:eastAsia="Times New Roman"/>
        </w:rPr>
        <w:t>arbete</w:t>
      </w:r>
      <w:r w:rsidR="00BC650D">
        <w:rPr>
          <w:rFonts w:eastAsia="Times New Roman"/>
        </w:rPr>
        <w:t>t</w:t>
      </w:r>
      <w:r>
        <w:rPr>
          <w:rFonts w:eastAsia="Times New Roman"/>
        </w:rPr>
        <w:t xml:space="preserve">s resultat </w:t>
      </w:r>
      <w:r w:rsidR="0028479F">
        <w:rPr>
          <w:rFonts w:eastAsia="Times New Roman"/>
        </w:rPr>
        <w:t xml:space="preserve">i tre steg, </w:t>
      </w:r>
      <w:r w:rsidR="005A0FD3">
        <w:rPr>
          <w:rFonts w:eastAsia="Times New Roman"/>
        </w:rPr>
        <w:t>på vad man skulle kunna kalla tre separata nivåer.</w:t>
      </w:r>
      <w:r w:rsidR="007745F7">
        <w:rPr>
          <w:rFonts w:eastAsia="Times New Roman"/>
        </w:rPr>
        <w:t xml:space="preserve"> </w:t>
      </w:r>
      <w:r w:rsidR="0028479F">
        <w:rPr>
          <w:rFonts w:eastAsia="Times New Roman"/>
        </w:rPr>
        <w:t>Redan på ka</w:t>
      </w:r>
      <w:r w:rsidR="008A4E57">
        <w:rPr>
          <w:rFonts w:eastAsia="Times New Roman"/>
        </w:rPr>
        <w:t xml:space="preserve">pitlets inledande sidor </w:t>
      </w:r>
      <w:r w:rsidR="0028479F">
        <w:rPr>
          <w:rFonts w:eastAsia="Times New Roman"/>
        </w:rPr>
        <w:t xml:space="preserve">presenteras tre generella slutsatser. </w:t>
      </w:r>
      <w:r w:rsidR="00E458FD">
        <w:rPr>
          <w:rFonts w:eastAsia="Times New Roman"/>
        </w:rPr>
        <w:t xml:space="preserve">Slutsats nr 2 </w:t>
      </w:r>
      <w:r w:rsidR="005878A2">
        <w:rPr>
          <w:rFonts w:eastAsia="Times New Roman"/>
        </w:rPr>
        <w:t xml:space="preserve">gäller lärresursernas “kompensatoriska” effekt, dvs den nytta elever som riskerar att halka efter </w:t>
      </w:r>
      <w:r w:rsidR="002F2FDA">
        <w:rPr>
          <w:rFonts w:eastAsia="Times New Roman"/>
        </w:rPr>
        <w:t xml:space="preserve">i undervisningen kan ha av dem; denna slutsats </w:t>
      </w:r>
      <w:r w:rsidR="00E458FD">
        <w:rPr>
          <w:rFonts w:eastAsia="Times New Roman"/>
        </w:rPr>
        <w:t>lämnar jag därhän. Så här inleds slutsats nr 1:</w:t>
      </w:r>
    </w:p>
    <w:p w14:paraId="48FDA36B" w14:textId="77777777" w:rsidR="00E458FD" w:rsidRDefault="00E458FD" w:rsidP="007745F7">
      <w:pPr>
        <w:rPr>
          <w:rFonts w:eastAsia="Times New Roman"/>
        </w:rPr>
      </w:pPr>
    </w:p>
    <w:p w14:paraId="45730EB2" w14:textId="77777777" w:rsidR="00E458FD" w:rsidRDefault="00E458FD" w:rsidP="00E458FD">
      <w:pPr>
        <w:pStyle w:val="Cit"/>
      </w:pPr>
      <w:r w:rsidRPr="00E458FD">
        <w:t>Välkonstruerade digitala lärresurser i förskol</w:t>
      </w:r>
      <w:r>
        <w:t xml:space="preserve">an kan erbjuda ett bra stöd för </w:t>
      </w:r>
      <w:r w:rsidRPr="00E458FD">
        <w:t xml:space="preserve">att </w:t>
      </w:r>
      <w:r>
        <w:t>utveckla barns tidiga matematik...</w:t>
      </w:r>
      <w:r w:rsidR="00D23D82">
        <w:t xml:space="preserve"> (11)</w:t>
      </w:r>
    </w:p>
    <w:p w14:paraId="6A079FCC" w14:textId="77777777" w:rsidR="00E458FD" w:rsidRDefault="00E458FD" w:rsidP="00E458FD">
      <w:pPr>
        <w:rPr>
          <w:rFonts w:eastAsia="Times New Roman"/>
        </w:rPr>
      </w:pPr>
    </w:p>
    <w:p w14:paraId="418A4CD8" w14:textId="77777777" w:rsidR="00E458FD" w:rsidRDefault="009B6B58" w:rsidP="00E458FD">
      <w:pPr>
        <w:rPr>
          <w:rFonts w:eastAsia="Times New Roman"/>
        </w:rPr>
      </w:pPr>
      <w:r>
        <w:rPr>
          <w:rFonts w:eastAsia="Times New Roman"/>
        </w:rPr>
        <w:t xml:space="preserve">Denna slutsats ger </w:t>
      </w:r>
      <w:r w:rsidR="006432D1">
        <w:rPr>
          <w:rFonts w:eastAsia="Times New Roman"/>
        </w:rPr>
        <w:t xml:space="preserve">alltså </w:t>
      </w:r>
      <w:r>
        <w:rPr>
          <w:rFonts w:eastAsia="Times New Roman"/>
        </w:rPr>
        <w:t xml:space="preserve">ett direkt svar på översiktens första frågeställning, </w:t>
      </w:r>
      <w:r w:rsidR="00D23EB7">
        <w:rPr>
          <w:rFonts w:eastAsia="Times New Roman"/>
        </w:rPr>
        <w:t>om vilka lärresursernas effekter</w:t>
      </w:r>
      <w:r>
        <w:rPr>
          <w:rFonts w:eastAsia="Times New Roman"/>
        </w:rPr>
        <w:t xml:space="preserve"> är, låt vara att svaret </w:t>
      </w:r>
      <w:r>
        <w:rPr>
          <w:rFonts w:eastAsia="Times New Roman"/>
        </w:rPr>
        <w:lastRenderedPageBreak/>
        <w:t xml:space="preserve">givetvis nyanseras i vad som följer. </w:t>
      </w:r>
      <w:r w:rsidR="009C66CC">
        <w:rPr>
          <w:rFonts w:eastAsia="Times New Roman"/>
        </w:rPr>
        <w:t xml:space="preserve">Lika klart är att slutsats </w:t>
      </w:r>
      <w:r w:rsidR="00D3085A">
        <w:rPr>
          <w:rFonts w:eastAsia="Times New Roman"/>
        </w:rPr>
        <w:t xml:space="preserve">nr 3 </w:t>
      </w:r>
      <w:r w:rsidR="00EB4485">
        <w:rPr>
          <w:rFonts w:eastAsia="Times New Roman"/>
        </w:rPr>
        <w:t>utgör</w:t>
      </w:r>
      <w:r w:rsidR="00D3085A">
        <w:rPr>
          <w:rFonts w:eastAsia="Times New Roman"/>
        </w:rPr>
        <w:t xml:space="preserve"> ett svar på översiktens andra frågeställning, om hur effekter, ell</w:t>
      </w:r>
      <w:r w:rsidR="002D6C84">
        <w:rPr>
          <w:rFonts w:eastAsia="Times New Roman"/>
        </w:rPr>
        <w:t>er deras från</w:t>
      </w:r>
      <w:r w:rsidR="00D23EB7">
        <w:rPr>
          <w:rFonts w:eastAsia="Times New Roman"/>
        </w:rPr>
        <w:t>v</w:t>
      </w:r>
      <w:r w:rsidR="002D6C84">
        <w:rPr>
          <w:rFonts w:eastAsia="Times New Roman"/>
        </w:rPr>
        <w:t xml:space="preserve">aro, kan förklaras. Så här lyder </w:t>
      </w:r>
      <w:r w:rsidR="00495A5D">
        <w:rPr>
          <w:rFonts w:eastAsia="Times New Roman"/>
        </w:rPr>
        <w:t>delar av slutsatsen</w:t>
      </w:r>
      <w:r w:rsidR="002D6C84">
        <w:rPr>
          <w:rFonts w:eastAsia="Times New Roman"/>
        </w:rPr>
        <w:t>:</w:t>
      </w:r>
    </w:p>
    <w:p w14:paraId="71B2DE58" w14:textId="77777777" w:rsidR="00D3085A" w:rsidRDefault="00D3085A" w:rsidP="00E458FD">
      <w:pPr>
        <w:rPr>
          <w:rFonts w:eastAsia="Times New Roman"/>
        </w:rPr>
      </w:pPr>
    </w:p>
    <w:p w14:paraId="7608DB0A" w14:textId="77777777" w:rsidR="00D3085A" w:rsidRDefault="00D23D82" w:rsidP="008A4E57">
      <w:pPr>
        <w:pStyle w:val="Cit"/>
      </w:pPr>
      <w:r w:rsidRPr="00D23D82">
        <w:t xml:space="preserve">Det är svårt att utifrån materialet dra tydliga </w:t>
      </w:r>
      <w:r>
        <w:t xml:space="preserve">slutsatser om egenskaper </w:t>
      </w:r>
      <w:r w:rsidRPr="00D23D82">
        <w:t>som</w:t>
      </w:r>
      <w:r>
        <w:t xml:space="preserve"> </w:t>
      </w:r>
      <w:r w:rsidRPr="00D23D82">
        <w:t>kan utmärka en välkonstruerad digital matematiklärresurs för barn i</w:t>
      </w:r>
      <w:r>
        <w:t xml:space="preserve"> </w:t>
      </w:r>
      <w:r w:rsidRPr="00D23D82">
        <w:t>förskolan. Men det tycks vara gynnsamt om arbetssätten uppmuntrar till</w:t>
      </w:r>
      <w:r>
        <w:t xml:space="preserve"> </w:t>
      </w:r>
      <w:r w:rsidRPr="00D23D82">
        <w:t xml:space="preserve">samtal mellan barn och med pedagogerna. </w:t>
      </w:r>
      <w:r>
        <w:t xml:space="preserve">(...) </w:t>
      </w:r>
      <w:r w:rsidRPr="00D23D82">
        <w:t>En nyckelfaktor är att de</w:t>
      </w:r>
      <w:r>
        <w:t xml:space="preserve"> </w:t>
      </w:r>
      <w:r w:rsidRPr="00D23D82">
        <w:t>matematikuppgifter som barnen arbetar m</w:t>
      </w:r>
      <w:r>
        <w:t xml:space="preserve">ed har en karaktär som inbjuder </w:t>
      </w:r>
      <w:r w:rsidRPr="00D23D82">
        <w:t>till samtal om själva uppgifterna.</w:t>
      </w:r>
      <w:r>
        <w:t xml:space="preserve"> (12)</w:t>
      </w:r>
    </w:p>
    <w:p w14:paraId="4CC7FF40" w14:textId="77777777" w:rsidR="008A4E57" w:rsidRDefault="008A4E57" w:rsidP="00D23D82">
      <w:pPr>
        <w:rPr>
          <w:rFonts w:eastAsia="Times New Roman"/>
        </w:rPr>
      </w:pPr>
    </w:p>
    <w:p w14:paraId="2F981464" w14:textId="77777777" w:rsidR="00DB2CC2" w:rsidRDefault="0091517C" w:rsidP="00D23D82">
      <w:pPr>
        <w:rPr>
          <w:rFonts w:eastAsia="Times New Roman"/>
        </w:rPr>
      </w:pPr>
      <w:r>
        <w:rPr>
          <w:rFonts w:eastAsia="Times New Roman"/>
        </w:rPr>
        <w:t xml:space="preserve">På nästa nivå i resultatredovisningen </w:t>
      </w:r>
      <w:r w:rsidR="001A00A6">
        <w:rPr>
          <w:rFonts w:eastAsia="Times New Roman"/>
        </w:rPr>
        <w:t>underbyggs</w:t>
      </w:r>
      <w:r>
        <w:rPr>
          <w:rFonts w:eastAsia="Times New Roman"/>
        </w:rPr>
        <w:t xml:space="preserve"> slutsatserna i fyra korta avsnitt</w:t>
      </w:r>
      <w:r w:rsidR="001A00A6">
        <w:rPr>
          <w:rFonts w:eastAsia="Times New Roman"/>
        </w:rPr>
        <w:t xml:space="preserve">, som vart och ett ger en sammanfattning av de 10 studier som rapporten behandlar, eller en undergrupp av dem. </w:t>
      </w:r>
      <w:r w:rsidR="00120DB6">
        <w:rPr>
          <w:rFonts w:eastAsia="Times New Roman"/>
        </w:rPr>
        <w:t xml:space="preserve">De </w:t>
      </w:r>
      <w:r w:rsidR="001A00A6">
        <w:rPr>
          <w:rFonts w:eastAsia="Times New Roman"/>
        </w:rPr>
        <w:t>två första avsnitten på denna nivå, med titlarna “</w:t>
      </w:r>
      <w:r w:rsidR="001A00A6" w:rsidRPr="001A00A6">
        <w:rPr>
          <w:rFonts w:eastAsia="Times New Roman"/>
        </w:rPr>
        <w:t>Relativt små insatser frigör tid för andra aktiviteter</w:t>
      </w:r>
      <w:r w:rsidR="001A00A6">
        <w:rPr>
          <w:rFonts w:eastAsia="Times New Roman"/>
        </w:rPr>
        <w:t>” (13) respektive “</w:t>
      </w:r>
      <w:r w:rsidR="001A00A6" w:rsidRPr="001A00A6">
        <w:rPr>
          <w:rFonts w:eastAsia="Times New Roman"/>
        </w:rPr>
        <w:t>Vad krävs av pedagogerna?</w:t>
      </w:r>
      <w:r w:rsidR="001A00A6">
        <w:rPr>
          <w:rFonts w:eastAsia="Times New Roman"/>
        </w:rPr>
        <w:t xml:space="preserve">” (loc. cit.), </w:t>
      </w:r>
      <w:r w:rsidR="00120DB6">
        <w:rPr>
          <w:rFonts w:eastAsia="Times New Roman"/>
        </w:rPr>
        <w:t xml:space="preserve">ger </w:t>
      </w:r>
      <w:r w:rsidR="00120DB6" w:rsidRPr="00120DB6">
        <w:rPr>
          <w:rFonts w:eastAsia="Times New Roman"/>
        </w:rPr>
        <w:t xml:space="preserve">information </w:t>
      </w:r>
      <w:r w:rsidR="00120DB6">
        <w:rPr>
          <w:rFonts w:eastAsia="Times New Roman"/>
        </w:rPr>
        <w:t xml:space="preserve">om studierna </w:t>
      </w:r>
      <w:r w:rsidR="00542826">
        <w:rPr>
          <w:rFonts w:eastAsia="Times New Roman"/>
        </w:rPr>
        <w:t xml:space="preserve">som tveklöst är relevant för personal som överväger att använda de digitala resurser som har undersökts. </w:t>
      </w:r>
      <w:r w:rsidR="008A4FB6">
        <w:rPr>
          <w:rFonts w:eastAsia="Times New Roman"/>
        </w:rPr>
        <w:t xml:space="preserve">Det </w:t>
      </w:r>
      <w:r w:rsidR="00B07AAB">
        <w:rPr>
          <w:rFonts w:eastAsia="Times New Roman"/>
        </w:rPr>
        <w:t>tredje avsnittet, “</w:t>
      </w:r>
      <w:r w:rsidR="00B07AAB" w:rsidRPr="00B07AAB">
        <w:rPr>
          <w:rFonts w:eastAsia="Times New Roman"/>
        </w:rPr>
        <w:t>Barn som riskerar att komma efter</w:t>
      </w:r>
      <w:r w:rsidR="00B07AAB">
        <w:rPr>
          <w:rFonts w:eastAsia="Times New Roman"/>
        </w:rPr>
        <w:t xml:space="preserve">” (14), </w:t>
      </w:r>
      <w:r w:rsidR="008A4FB6">
        <w:rPr>
          <w:rFonts w:eastAsia="Times New Roman"/>
        </w:rPr>
        <w:t xml:space="preserve">ägnas fyra studier </w:t>
      </w:r>
      <w:r w:rsidR="006E6836">
        <w:rPr>
          <w:rFonts w:eastAsia="Times New Roman"/>
        </w:rPr>
        <w:t xml:space="preserve">med </w:t>
      </w:r>
      <w:r w:rsidR="008A4FB6">
        <w:rPr>
          <w:rFonts w:eastAsia="Times New Roman"/>
        </w:rPr>
        <w:t xml:space="preserve">bäring på den kompensatoriska effekt som slutsats nr 2 gäller, på redovisningens mest generella nivå. </w:t>
      </w:r>
      <w:r w:rsidR="005308E9">
        <w:rPr>
          <w:rFonts w:eastAsia="Times New Roman"/>
        </w:rPr>
        <w:t>Den titel som valts för det fj</w:t>
      </w:r>
      <w:r w:rsidR="00922533">
        <w:rPr>
          <w:rFonts w:eastAsia="Times New Roman"/>
        </w:rPr>
        <w:t>ärde avsnittet på mellannivå, “</w:t>
      </w:r>
      <w:r w:rsidR="005308E9" w:rsidRPr="005308E9">
        <w:rPr>
          <w:rFonts w:eastAsia="Times New Roman"/>
        </w:rPr>
        <w:t>Att välja digitala lärresurser</w:t>
      </w:r>
      <w:r w:rsidR="00922533">
        <w:rPr>
          <w:rFonts w:eastAsia="Times New Roman"/>
        </w:rPr>
        <w:t xml:space="preserve">” (14-15), är kanske den som tydligast konnoterar </w:t>
      </w:r>
      <w:r w:rsidR="0099290C">
        <w:rPr>
          <w:rFonts w:eastAsia="Times New Roman"/>
        </w:rPr>
        <w:t>konsumentupplysning</w:t>
      </w:r>
      <w:r w:rsidR="008E500B">
        <w:rPr>
          <w:rFonts w:eastAsia="Times New Roman"/>
        </w:rPr>
        <w:t>.</w:t>
      </w:r>
    </w:p>
    <w:p w14:paraId="78530782" w14:textId="77777777" w:rsidR="00DB2CC2" w:rsidRDefault="00DB2CC2" w:rsidP="00D23D82">
      <w:pPr>
        <w:rPr>
          <w:rFonts w:eastAsia="Times New Roman"/>
        </w:rPr>
      </w:pPr>
    </w:p>
    <w:p w14:paraId="2453F57F" w14:textId="77777777" w:rsidR="008A4E57" w:rsidRDefault="005B6E43" w:rsidP="005B6E43">
      <w:pPr>
        <w:rPr>
          <w:rFonts w:eastAsia="Times New Roman"/>
        </w:rPr>
      </w:pPr>
      <w:r>
        <w:rPr>
          <w:rFonts w:eastAsia="Times New Roman"/>
        </w:rPr>
        <w:t xml:space="preserve">Ambitionen i detta avsnitt är att, genom att återvända till den “nyckelfaktor” som identifierades i slutsats nr 3 och specificera dess karaktär, </w:t>
      </w:r>
      <w:r w:rsidR="00E5479F">
        <w:rPr>
          <w:rFonts w:eastAsia="Times New Roman"/>
        </w:rPr>
        <w:t xml:space="preserve">vidareutveckla ett resonemang om skälen till att vissa lärresurser tycks ha god effekt; som läsaren av föreliggande rapport säkert minns är förklaringar av det slaget vad som krävs för att besvara översiktens frågeställning 2. </w:t>
      </w:r>
      <w:r w:rsidR="004E7EB0">
        <w:rPr>
          <w:rFonts w:eastAsia="Times New Roman"/>
        </w:rPr>
        <w:t xml:space="preserve">Tre av studierna uppges kasta ljus över den förmodade nyckelfaktorns karaktär. </w:t>
      </w:r>
      <w:r w:rsidR="00A9486D">
        <w:rPr>
          <w:rFonts w:eastAsia="Times New Roman"/>
        </w:rPr>
        <w:t xml:space="preserve">De tre studierna ger delvis motstridiga resultat - dels att samarbete kring en digital lärresurs skapade goda förutsättningar för samtal mellan barnen om resursernas matematiska innehåll, dels att </w:t>
      </w:r>
      <w:r w:rsidR="00950F10">
        <w:rPr>
          <w:rFonts w:eastAsia="Times New Roman"/>
        </w:rPr>
        <w:t>barn som arbetade</w:t>
      </w:r>
      <w:r w:rsidR="0085781C">
        <w:rPr>
          <w:rFonts w:eastAsia="Times New Roman"/>
        </w:rPr>
        <w:t xml:space="preserve"> individuellt med en digital lärresurs gjorde snabbare framsteg än barn som samarbetade. </w:t>
      </w:r>
      <w:r w:rsidR="00D82477">
        <w:rPr>
          <w:rFonts w:eastAsia="Times New Roman"/>
        </w:rPr>
        <w:t>Diskrepansen</w:t>
      </w:r>
      <w:r w:rsidR="0085781C">
        <w:rPr>
          <w:rFonts w:eastAsia="Times New Roman"/>
        </w:rPr>
        <w:t xml:space="preserve"> är </w:t>
      </w:r>
      <w:r w:rsidR="00950F10">
        <w:rPr>
          <w:rFonts w:eastAsia="Times New Roman"/>
        </w:rPr>
        <w:t>endast</w:t>
      </w:r>
      <w:r w:rsidR="0085781C">
        <w:rPr>
          <w:rFonts w:eastAsia="Times New Roman"/>
        </w:rPr>
        <w:t xml:space="preserve"> skenbar, hävdar översiktens författare</w:t>
      </w:r>
      <w:r w:rsidR="002A3883">
        <w:rPr>
          <w:rFonts w:eastAsia="Times New Roman"/>
        </w:rPr>
        <w:t>;</w:t>
      </w:r>
      <w:r w:rsidR="0085781C">
        <w:rPr>
          <w:rFonts w:eastAsia="Times New Roman"/>
        </w:rPr>
        <w:t xml:space="preserve"> </w:t>
      </w:r>
      <w:r w:rsidR="002A3883">
        <w:rPr>
          <w:rFonts w:eastAsia="Times New Roman"/>
        </w:rPr>
        <w:t>rätt förstådda ger de tre studiernas resultat</w:t>
      </w:r>
      <w:r w:rsidR="0085781C">
        <w:rPr>
          <w:rFonts w:eastAsia="Times New Roman"/>
        </w:rPr>
        <w:t xml:space="preserve"> </w:t>
      </w:r>
      <w:r w:rsidR="002456FC">
        <w:rPr>
          <w:rFonts w:eastAsia="Times New Roman"/>
        </w:rPr>
        <w:t>stöd för antagandet</w:t>
      </w:r>
    </w:p>
    <w:p w14:paraId="43FDD8EF" w14:textId="77777777" w:rsidR="0085781C" w:rsidRDefault="0085781C" w:rsidP="005B6E43">
      <w:pPr>
        <w:rPr>
          <w:rFonts w:eastAsia="Times New Roman"/>
        </w:rPr>
      </w:pPr>
    </w:p>
    <w:p w14:paraId="7C7833D2" w14:textId="77777777" w:rsidR="0085781C" w:rsidRDefault="002456FC" w:rsidP="002456FC">
      <w:pPr>
        <w:pStyle w:val="Cit"/>
      </w:pPr>
      <w:r w:rsidRPr="002456FC">
        <w:t>att det alltid är fråga om</w:t>
      </w:r>
      <w:r>
        <w:t xml:space="preserve"> </w:t>
      </w:r>
      <w:r w:rsidRPr="002456FC">
        <w:t xml:space="preserve">att finna en balans mellan att ge barnen möjlighet att </w:t>
      </w:r>
      <w:r>
        <w:t xml:space="preserve">samtala och att försäkra sig om </w:t>
      </w:r>
      <w:r w:rsidRPr="002456FC">
        <w:t>att samtalen inte sker på bekostnad av ett fokus på att lösa uppgifterna</w:t>
      </w:r>
      <w:r>
        <w:t>. (15)</w:t>
      </w:r>
    </w:p>
    <w:p w14:paraId="2A68E7D1" w14:textId="77777777" w:rsidR="008E500B" w:rsidRDefault="008E500B" w:rsidP="00D23D82">
      <w:pPr>
        <w:rPr>
          <w:rFonts w:eastAsia="Times New Roman"/>
        </w:rPr>
      </w:pPr>
    </w:p>
    <w:p w14:paraId="1591FF64" w14:textId="77777777" w:rsidR="00D82477" w:rsidRDefault="002C150D" w:rsidP="00D23D82">
      <w:r>
        <w:rPr>
          <w:rFonts w:eastAsia="Times New Roman"/>
        </w:rPr>
        <w:lastRenderedPageBreak/>
        <w:t xml:space="preserve">Därmed har alltså </w:t>
      </w:r>
      <w:r w:rsidR="00FE3CB6">
        <w:rPr>
          <w:rFonts w:eastAsia="Times New Roman"/>
        </w:rPr>
        <w:t xml:space="preserve">det korta svar på översiktens andra frågeställning som gavs i den tredje av de generella slutsatserna i resultatkapitlets inledning </w:t>
      </w:r>
      <w:r w:rsidR="0014473E">
        <w:rPr>
          <w:rFonts w:eastAsia="Times New Roman"/>
        </w:rPr>
        <w:t xml:space="preserve">vidareutvecklats och blivit mer komplext. </w:t>
      </w:r>
      <w:r w:rsidR="00DD4B60">
        <w:rPr>
          <w:rFonts w:eastAsia="Times New Roman"/>
        </w:rPr>
        <w:t xml:space="preserve">Efter de fyra sammanfattande avsnitt som, föreslog jag ovan, kan betraktas som representerande en mellannivå, följer ett längre avsnitt i </w:t>
      </w:r>
      <w:r w:rsidR="00DD4B60">
        <w:t xml:space="preserve">vilket mer detaljerade redogörelser för primärstudierna ges, gruppvis eller enskilt. På denna tredje nivå av resultatredovisning framgår att de tre ovan nämnda studierna är de enda i underlaget som fokuserar samarbete. En hel del ny </w:t>
      </w:r>
      <w:r w:rsidR="00DD4B60" w:rsidRPr="00E37394">
        <w:rPr>
          <w:rFonts w:eastAsia="Times New Roman"/>
        </w:rPr>
        <w:t>information</w:t>
      </w:r>
      <w:r w:rsidR="00DD4B60">
        <w:t xml:space="preserve"> ges om hur de tre studierna har genomförts, </w:t>
      </w:r>
      <w:r w:rsidR="00950F10">
        <w:t>däremot</w:t>
      </w:r>
      <w:r w:rsidR="00DD4B60">
        <w:t xml:space="preserve"> ingenting som ytterligare underbygger resonem</w:t>
      </w:r>
      <w:r w:rsidR="006C5F13">
        <w:t>a</w:t>
      </w:r>
      <w:r w:rsidR="00DD4B60">
        <w:t xml:space="preserve">nget om en nyckelfaktor eller en balansgång </w:t>
      </w:r>
      <w:r w:rsidR="00000DDC">
        <w:t>(20-21).</w:t>
      </w:r>
    </w:p>
    <w:p w14:paraId="1CFF573A" w14:textId="77777777" w:rsidR="00DD4B60" w:rsidRDefault="00DD4B60" w:rsidP="00D23D82"/>
    <w:p w14:paraId="0AC212E2" w14:textId="77777777" w:rsidR="00DD4B60" w:rsidRDefault="00216D7D" w:rsidP="00D23D82">
      <w:pPr>
        <w:rPr>
          <w:rFonts w:eastAsia="Times New Roman"/>
        </w:rPr>
      </w:pPr>
      <w:r>
        <w:rPr>
          <w:rFonts w:eastAsia="Times New Roman"/>
        </w:rPr>
        <w:t xml:space="preserve">Den typ av analys som </w:t>
      </w:r>
      <w:r w:rsidR="00B002B6">
        <w:rPr>
          <w:rFonts w:eastAsia="Times New Roman"/>
        </w:rPr>
        <w:t xml:space="preserve">här redovisas </w:t>
      </w:r>
      <w:r>
        <w:rPr>
          <w:rFonts w:eastAsia="Times New Roman"/>
        </w:rPr>
        <w:t xml:space="preserve">är induktiv snarare än deduktiv - om än analysens led, som jag redan har nämnt, presenteras i en ordningsföljd motsatt den som är bruklig. </w:t>
      </w:r>
      <w:r w:rsidR="00444503">
        <w:rPr>
          <w:rFonts w:eastAsia="Times New Roman"/>
        </w:rPr>
        <w:t>Analysens två översta niv</w:t>
      </w:r>
      <w:r w:rsidR="004826F0">
        <w:rPr>
          <w:rFonts w:eastAsia="Times New Roman"/>
        </w:rPr>
        <w:t xml:space="preserve">åer hänger tämligen väl samman: de fyra avsnitt som sammanfattar skilda aspekter av de utvalda studierna underbygger det resonemang som förs i de tre generella slutsatserna i kapitlets inledning. Om än den tredje nivån, diskussionen av de tio studierna var för sig, förvisso ger en hel del </w:t>
      </w:r>
      <w:r w:rsidR="004826F0" w:rsidRPr="004826F0">
        <w:rPr>
          <w:rFonts w:eastAsia="Times New Roman"/>
        </w:rPr>
        <w:t xml:space="preserve">information </w:t>
      </w:r>
      <w:r w:rsidR="004826F0">
        <w:rPr>
          <w:rFonts w:eastAsia="Times New Roman"/>
        </w:rPr>
        <w:t xml:space="preserve">om hur studierna genomförts, </w:t>
      </w:r>
      <w:r w:rsidR="0038528C">
        <w:rPr>
          <w:rFonts w:eastAsia="Times New Roman"/>
        </w:rPr>
        <w:t>bidrar redogörelserna endast helt marginellt till en fördjupad förståelse av de samband som behandlats på analysens två övriga nivåer. Detta tycks gälla gen</w:t>
      </w:r>
      <w:r w:rsidR="006C5F13">
        <w:rPr>
          <w:rFonts w:eastAsia="Times New Roman"/>
        </w:rPr>
        <w:t>e</w:t>
      </w:r>
      <w:r w:rsidR="0038528C">
        <w:rPr>
          <w:rFonts w:eastAsia="Times New Roman"/>
        </w:rPr>
        <w:t>rellt, alltså inte bara i fallet med ovan diskuterade nyckelfaktor.</w:t>
      </w:r>
    </w:p>
    <w:p w14:paraId="525B0E2A" w14:textId="77777777" w:rsidR="00D82477" w:rsidRDefault="00D82477" w:rsidP="00D23D82">
      <w:pPr>
        <w:rPr>
          <w:rFonts w:eastAsia="Times New Roman"/>
        </w:rPr>
      </w:pPr>
    </w:p>
    <w:p w14:paraId="0A3B4597" w14:textId="2753CD34" w:rsidR="00207628" w:rsidRDefault="002917DE" w:rsidP="00D23D82">
      <w:pPr>
        <w:rPr>
          <w:rFonts w:eastAsia="Times New Roman"/>
        </w:rPr>
      </w:pPr>
      <w:r>
        <w:rPr>
          <w:rFonts w:eastAsia="Times New Roman"/>
        </w:rPr>
        <w:t>Det är viktigt att notera att de tre studierna med fokus på samarbete inte bara pusslas samman med varandra i analysen; den tolkning som föreslås av innebörden i och implikationerna av deras resultat förefaller bygga även på annan litteratur än översiktens 10 primärstudier. Den roll de tre studierna ges i analysen, som empiriskt stöd för en nyckelfaktor angående vad som kännetecknar välkonstruerade digitala lärresurser för matematikundervisning, innebär dessutom att de antas påvisa något som gäller för översiktens hela underlag. Att göra kopplingar och dra slutsatser av det slaget förutsätter förtrogenhet med det forskningsfält</w:t>
      </w:r>
      <w:r w:rsidR="003B3F2E">
        <w:rPr>
          <w:rFonts w:eastAsia="Times New Roman"/>
        </w:rPr>
        <w:t xml:space="preserve"> </w:t>
      </w:r>
      <w:r>
        <w:rPr>
          <w:rFonts w:eastAsia="Times New Roman"/>
        </w:rPr>
        <w:t xml:space="preserve">studierna ingår i. </w:t>
      </w:r>
      <w:r w:rsidR="00F8252D">
        <w:rPr>
          <w:rFonts w:eastAsia="Times New Roman"/>
        </w:rPr>
        <w:t xml:space="preserve">Sådan förtrogenhet kan varken krävas eller förväntas av </w:t>
      </w:r>
      <w:r w:rsidR="00F8252D" w:rsidRPr="00F8252D">
        <w:rPr>
          <w:rFonts w:eastAsia="Times New Roman"/>
        </w:rPr>
        <w:t>Skolf</w:t>
      </w:r>
      <w:r w:rsidR="00F8252D">
        <w:rPr>
          <w:rFonts w:eastAsia="Times New Roman"/>
        </w:rPr>
        <w:t>orskningsinstitutets</w:t>
      </w:r>
      <w:r w:rsidR="00E62045">
        <w:rPr>
          <w:rFonts w:eastAsia="Times New Roman"/>
        </w:rPr>
        <w:t xml:space="preserve"> projektledare, </w:t>
      </w:r>
      <w:r w:rsidR="00E62045" w:rsidRPr="00E62045">
        <w:rPr>
          <w:rFonts w:eastAsia="Times New Roman"/>
        </w:rPr>
        <w:t>information</w:t>
      </w:r>
      <w:r w:rsidR="00E62045">
        <w:rPr>
          <w:rFonts w:eastAsia="Times New Roman"/>
        </w:rPr>
        <w:t xml:space="preserve">sspecialister </w:t>
      </w:r>
      <w:r w:rsidR="00F116E2">
        <w:rPr>
          <w:rFonts w:eastAsia="Times New Roman"/>
        </w:rPr>
        <w:t>eller</w:t>
      </w:r>
      <w:r w:rsidR="00E62045">
        <w:rPr>
          <w:rFonts w:eastAsia="Times New Roman"/>
        </w:rPr>
        <w:t xml:space="preserve"> projektassistenter. </w:t>
      </w:r>
      <w:r w:rsidR="004D3E96">
        <w:rPr>
          <w:rFonts w:eastAsia="Times New Roman"/>
        </w:rPr>
        <w:t xml:space="preserve">Det är </w:t>
      </w:r>
      <w:r w:rsidR="00207628">
        <w:rPr>
          <w:rFonts w:eastAsia="Times New Roman"/>
        </w:rPr>
        <w:t xml:space="preserve">genom att knyta </w:t>
      </w:r>
      <w:r w:rsidR="00207628" w:rsidRPr="00207628">
        <w:rPr>
          <w:rFonts w:eastAsia="Times New Roman"/>
        </w:rPr>
        <w:t xml:space="preserve">forskare </w:t>
      </w:r>
      <w:r w:rsidR="00207628">
        <w:rPr>
          <w:rFonts w:eastAsia="Times New Roman"/>
        </w:rPr>
        <w:t xml:space="preserve">verksamma inom området ifråga som </w:t>
      </w:r>
      <w:r w:rsidR="00207628" w:rsidRPr="00207628">
        <w:rPr>
          <w:rFonts w:eastAsia="Times New Roman"/>
        </w:rPr>
        <w:t xml:space="preserve">institutet </w:t>
      </w:r>
      <w:r w:rsidR="00207628">
        <w:rPr>
          <w:rFonts w:eastAsia="Times New Roman"/>
        </w:rPr>
        <w:t xml:space="preserve">kan försäkra sig om att den kompetens sådana analyser kräver kan ingå i arbetet med varje </w:t>
      </w:r>
      <w:r w:rsidR="00207628" w:rsidRPr="00207628">
        <w:rPr>
          <w:rFonts w:eastAsia="Times New Roman"/>
        </w:rPr>
        <w:t>översik</w:t>
      </w:r>
      <w:r w:rsidR="00207628">
        <w:rPr>
          <w:rFonts w:eastAsia="Times New Roman"/>
        </w:rPr>
        <w:t>t.</w:t>
      </w:r>
    </w:p>
    <w:p w14:paraId="1EE96DA7" w14:textId="77777777" w:rsidR="00BE7653" w:rsidRDefault="00BE7653" w:rsidP="00D23D82">
      <w:pPr>
        <w:rPr>
          <w:rFonts w:eastAsia="Times New Roman"/>
        </w:rPr>
      </w:pPr>
    </w:p>
    <w:p w14:paraId="7C205131" w14:textId="77777777" w:rsidR="004D3E96" w:rsidRDefault="00E10115" w:rsidP="00D23D82">
      <w:pPr>
        <w:rPr>
          <w:rFonts w:eastAsia="Times New Roman"/>
        </w:rPr>
      </w:pPr>
      <w:r>
        <w:rPr>
          <w:rFonts w:eastAsia="Times New Roman"/>
        </w:rPr>
        <w:t xml:space="preserve">Rapportens avslutande kapitel, i vilket den metod som tillämpats beskrivs, är gemensamt för översiktens </w:t>
      </w:r>
      <w:r w:rsidR="00C50B29">
        <w:rPr>
          <w:rFonts w:eastAsia="Times New Roman"/>
        </w:rPr>
        <w:t>båda</w:t>
      </w:r>
      <w:r>
        <w:rPr>
          <w:rFonts w:eastAsia="Times New Roman"/>
        </w:rPr>
        <w:t xml:space="preserve"> delar. </w:t>
      </w:r>
      <w:r w:rsidR="00F116E2">
        <w:rPr>
          <w:rFonts w:eastAsia="Times New Roman"/>
        </w:rPr>
        <w:t>Min</w:t>
      </w:r>
      <w:r w:rsidR="00ED7D40">
        <w:rPr>
          <w:rFonts w:eastAsia="Times New Roman"/>
        </w:rPr>
        <w:t xml:space="preserve"> </w:t>
      </w:r>
      <w:r w:rsidR="00F116E2">
        <w:rPr>
          <w:rFonts w:eastAsia="Times New Roman"/>
        </w:rPr>
        <w:t xml:space="preserve">diskussion av </w:t>
      </w:r>
      <w:r w:rsidR="00ED7D40">
        <w:rPr>
          <w:rFonts w:eastAsia="Times New Roman"/>
        </w:rPr>
        <w:t>detta kapital följer därför nedan.</w:t>
      </w:r>
    </w:p>
    <w:p w14:paraId="7ED7C779" w14:textId="77777777" w:rsidR="004D3E96" w:rsidRDefault="004D3E96" w:rsidP="00D23D82">
      <w:pPr>
        <w:rPr>
          <w:rFonts w:eastAsia="Times New Roman"/>
        </w:rPr>
      </w:pPr>
    </w:p>
    <w:p w14:paraId="370C64C5" w14:textId="77777777" w:rsidR="00ED7D40" w:rsidRPr="003B7224" w:rsidRDefault="00ED7D40" w:rsidP="00D23D82">
      <w:pPr>
        <w:rPr>
          <w:rFonts w:eastAsia="Times New Roman"/>
          <w:sz w:val="36"/>
          <w:szCs w:val="36"/>
        </w:rPr>
      </w:pPr>
      <w:r w:rsidRPr="003B7224">
        <w:rPr>
          <w:rFonts w:eastAsia="Times New Roman"/>
          <w:sz w:val="36"/>
          <w:szCs w:val="36"/>
        </w:rPr>
        <w:t>Rapporten om lärresurser för skolan</w:t>
      </w:r>
    </w:p>
    <w:p w14:paraId="71829E20" w14:textId="77777777" w:rsidR="00ED7D40" w:rsidRDefault="00ED7D40" w:rsidP="00D23D82">
      <w:pPr>
        <w:rPr>
          <w:rFonts w:eastAsia="Times New Roman"/>
        </w:rPr>
      </w:pPr>
    </w:p>
    <w:p w14:paraId="3AF9132F" w14:textId="54F40407" w:rsidR="00ED7D40" w:rsidRDefault="00E712CE" w:rsidP="00D23D82">
      <w:pPr>
        <w:rPr>
          <w:rFonts w:eastAsia="Times New Roman"/>
        </w:rPr>
      </w:pPr>
      <w:r>
        <w:rPr>
          <w:rFonts w:eastAsia="Times New Roman"/>
        </w:rPr>
        <w:t xml:space="preserve">Förordet i denna rapport är detsamma som i delrapporten om digitala lärresurser för förskolan, </w:t>
      </w:r>
      <w:r w:rsidR="00080B43">
        <w:rPr>
          <w:rFonts w:eastAsia="Times New Roman"/>
        </w:rPr>
        <w:t>och avsnittet om värdet av skol</w:t>
      </w:r>
      <w:r w:rsidR="00080B43" w:rsidRPr="00080B43">
        <w:rPr>
          <w:rFonts w:eastAsia="Times New Roman"/>
        </w:rPr>
        <w:t xml:space="preserve">forskning </w:t>
      </w:r>
      <w:r w:rsidR="00080B43">
        <w:rPr>
          <w:rFonts w:eastAsia="Times New Roman"/>
        </w:rPr>
        <w:t xml:space="preserve">och </w:t>
      </w:r>
      <w:r w:rsidR="00080B43" w:rsidRPr="00080B43">
        <w:rPr>
          <w:rFonts w:eastAsia="Times New Roman"/>
        </w:rPr>
        <w:t xml:space="preserve">systematiska översikter </w:t>
      </w:r>
      <w:r>
        <w:rPr>
          <w:rFonts w:eastAsia="Times New Roman"/>
        </w:rPr>
        <w:t>återkommer</w:t>
      </w:r>
      <w:r w:rsidR="00A4442B">
        <w:rPr>
          <w:rFonts w:eastAsia="Times New Roman"/>
        </w:rPr>
        <w:t>,</w:t>
      </w:r>
      <w:r>
        <w:rPr>
          <w:rFonts w:eastAsia="Times New Roman"/>
        </w:rPr>
        <w:t xml:space="preserve"> som redan nämnt</w:t>
      </w:r>
      <w:r w:rsidR="00C50B29">
        <w:rPr>
          <w:rFonts w:eastAsia="Times New Roman"/>
        </w:rPr>
        <w:t>s</w:t>
      </w:r>
      <w:r w:rsidR="00A4442B">
        <w:rPr>
          <w:rFonts w:eastAsia="Times New Roman"/>
        </w:rPr>
        <w:t>,</w:t>
      </w:r>
      <w:r>
        <w:rPr>
          <w:rFonts w:eastAsia="Times New Roman"/>
        </w:rPr>
        <w:t xml:space="preserve"> i </w:t>
      </w:r>
      <w:r w:rsidR="00C50B29">
        <w:rPr>
          <w:rFonts w:eastAsia="Times New Roman"/>
        </w:rPr>
        <w:t xml:space="preserve">institutets </w:t>
      </w:r>
      <w:r>
        <w:rPr>
          <w:rFonts w:eastAsia="Times New Roman"/>
        </w:rPr>
        <w:t xml:space="preserve">samtliga hittills publicerade rapporter med </w:t>
      </w:r>
      <w:r w:rsidRPr="00E712CE">
        <w:rPr>
          <w:rFonts w:eastAsia="Times New Roman"/>
        </w:rPr>
        <w:t>översikter</w:t>
      </w:r>
      <w:r>
        <w:rPr>
          <w:rFonts w:eastAsia="Times New Roman"/>
        </w:rPr>
        <w:t xml:space="preserve">. Även här föregås </w:t>
      </w:r>
      <w:r w:rsidR="00C25F93">
        <w:rPr>
          <w:rFonts w:eastAsia="Times New Roman"/>
        </w:rPr>
        <w:t>de ordinar</w:t>
      </w:r>
      <w:r w:rsidR="006C5F13">
        <w:rPr>
          <w:rFonts w:eastAsia="Times New Roman"/>
        </w:rPr>
        <w:t>i</w:t>
      </w:r>
      <w:r w:rsidR="00C25F93">
        <w:rPr>
          <w:rFonts w:eastAsia="Times New Roman"/>
        </w:rPr>
        <w:t xml:space="preserve">e kapitlen </w:t>
      </w:r>
      <w:r>
        <w:rPr>
          <w:rFonts w:eastAsia="Times New Roman"/>
        </w:rPr>
        <w:t xml:space="preserve">dessutom av en </w:t>
      </w:r>
      <w:r w:rsidR="00C25F93">
        <w:rPr>
          <w:rFonts w:eastAsia="Times New Roman"/>
        </w:rPr>
        <w:t>kort sammanfattning av hela delrapporten.</w:t>
      </w:r>
      <w:r w:rsidR="009A3EC0">
        <w:rPr>
          <w:rFonts w:eastAsia="Times New Roman"/>
        </w:rPr>
        <w:t xml:space="preserve"> Dispositionen är </w:t>
      </w:r>
      <w:r w:rsidR="009F4E4B">
        <w:rPr>
          <w:rFonts w:eastAsia="Times New Roman"/>
        </w:rPr>
        <w:t xml:space="preserve">i </w:t>
      </w:r>
      <w:r w:rsidR="0010225C">
        <w:rPr>
          <w:rFonts w:eastAsia="Times New Roman"/>
        </w:rPr>
        <w:t>sina huvuddrag</w:t>
      </w:r>
      <w:r w:rsidR="009F4E4B">
        <w:rPr>
          <w:rFonts w:eastAsia="Times New Roman"/>
        </w:rPr>
        <w:t xml:space="preserve"> </w:t>
      </w:r>
      <w:r w:rsidR="009A3EC0">
        <w:rPr>
          <w:rFonts w:eastAsia="Times New Roman"/>
        </w:rPr>
        <w:t>densamma som i delrapporten om försko</w:t>
      </w:r>
      <w:r w:rsidR="00EB50B1">
        <w:rPr>
          <w:rFonts w:eastAsia="Times New Roman"/>
        </w:rPr>
        <w:t xml:space="preserve">lan. Det </w:t>
      </w:r>
      <w:r w:rsidR="0070348F">
        <w:rPr>
          <w:rFonts w:eastAsia="Times New Roman"/>
        </w:rPr>
        <w:t>inledande</w:t>
      </w:r>
      <w:r w:rsidR="00EB50B1">
        <w:rPr>
          <w:rFonts w:eastAsia="Times New Roman"/>
        </w:rPr>
        <w:t xml:space="preserve"> kapitlet förklarar kortfattat varför översiktens ämne är viktigt, och det andra ger en kort beskrivning av </w:t>
      </w:r>
      <w:r w:rsidR="000F5B65">
        <w:rPr>
          <w:rFonts w:eastAsia="Times New Roman"/>
        </w:rPr>
        <w:t xml:space="preserve">det sätt på vilket litteratur har identifierats och valts ut, liksom av rapportens uppbyggnad. </w:t>
      </w:r>
      <w:r w:rsidR="0070348F">
        <w:rPr>
          <w:rFonts w:eastAsia="Times New Roman"/>
        </w:rPr>
        <w:t xml:space="preserve">Även i denna rapport </w:t>
      </w:r>
      <w:r w:rsidR="000F5B65">
        <w:rPr>
          <w:rFonts w:eastAsia="Times New Roman"/>
        </w:rPr>
        <w:t xml:space="preserve">redovisas </w:t>
      </w:r>
      <w:r w:rsidR="0070348F">
        <w:rPr>
          <w:rFonts w:eastAsia="Times New Roman"/>
        </w:rPr>
        <w:t xml:space="preserve">resultaten </w:t>
      </w:r>
      <w:r w:rsidR="000F5B65">
        <w:rPr>
          <w:rFonts w:eastAsia="Times New Roman"/>
        </w:rPr>
        <w:t xml:space="preserve">i kapitel 3, </w:t>
      </w:r>
      <w:r w:rsidR="009F4E4B">
        <w:rPr>
          <w:rFonts w:eastAsia="Times New Roman"/>
        </w:rPr>
        <w:t xml:space="preserve">men </w:t>
      </w:r>
      <w:r w:rsidR="0070348F">
        <w:rPr>
          <w:rFonts w:eastAsia="Times New Roman"/>
        </w:rPr>
        <w:t xml:space="preserve">därefter följer, förutom ett metodkapitel, två korta kapitel som </w:t>
      </w:r>
      <w:r w:rsidR="00B813BF">
        <w:rPr>
          <w:rFonts w:eastAsia="Times New Roman"/>
        </w:rPr>
        <w:t xml:space="preserve">inte ingår i rapporten om förskolan. I det ena kapitlet, “Översiktens begränsningar” redogör författarna för svårbedömda faktorer som kan ha påverkat de slutsatser de dragit av </w:t>
      </w:r>
      <w:r w:rsidR="00631DFE">
        <w:rPr>
          <w:rFonts w:eastAsia="Times New Roman"/>
        </w:rPr>
        <w:t>sitt material</w:t>
      </w:r>
      <w:r w:rsidR="00B813BF">
        <w:rPr>
          <w:rFonts w:eastAsia="Times New Roman"/>
        </w:rPr>
        <w:t xml:space="preserve">. </w:t>
      </w:r>
      <w:r w:rsidR="00631DFE">
        <w:rPr>
          <w:rFonts w:eastAsia="Times New Roman"/>
        </w:rPr>
        <w:t>Det andra kapitlet, rubricerat “</w:t>
      </w:r>
      <w:r w:rsidR="009A3EC0">
        <w:rPr>
          <w:rFonts w:eastAsia="Times New Roman"/>
        </w:rPr>
        <w:t>Kartläggning</w:t>
      </w:r>
      <w:r w:rsidR="00631DFE">
        <w:rPr>
          <w:rFonts w:eastAsia="Times New Roman"/>
        </w:rPr>
        <w:t>”,</w:t>
      </w:r>
      <w:r w:rsidR="009A3EC0">
        <w:rPr>
          <w:rFonts w:eastAsia="Times New Roman"/>
        </w:rPr>
        <w:t xml:space="preserve"> består av redogörelser för hur de utvalda studierna fördelar sig ge</w:t>
      </w:r>
      <w:r w:rsidR="006C5F13">
        <w:rPr>
          <w:rFonts w:eastAsia="Times New Roman"/>
        </w:rPr>
        <w:t>o</w:t>
      </w:r>
      <w:r w:rsidR="009A3EC0">
        <w:rPr>
          <w:rFonts w:eastAsia="Times New Roman"/>
        </w:rPr>
        <w:t xml:space="preserve">grafiskt, vilka typer av digitala lärresurser de behandlar, </w:t>
      </w:r>
      <w:r w:rsidR="00DB2500">
        <w:rPr>
          <w:rFonts w:eastAsia="Times New Roman"/>
        </w:rPr>
        <w:t xml:space="preserve">hur många deltagare som har ingått, etc. Allt presenteras lättfattligt, med stapeldiagram. </w:t>
      </w:r>
      <w:r w:rsidR="006B2F1D">
        <w:rPr>
          <w:rFonts w:eastAsia="Times New Roman"/>
        </w:rPr>
        <w:t>Delrapporten omfattar 75 studier, huvudsakligen från USA, men i övrigt utförda i 17 olika länder, däri</w:t>
      </w:r>
      <w:r w:rsidR="006C5F13">
        <w:rPr>
          <w:rFonts w:eastAsia="Times New Roman"/>
        </w:rPr>
        <w:t>b</w:t>
      </w:r>
      <w:r w:rsidR="006B2F1D">
        <w:rPr>
          <w:rFonts w:eastAsia="Times New Roman"/>
        </w:rPr>
        <w:t xml:space="preserve">land Sverige, varifrån två av studierna kommer. </w:t>
      </w:r>
      <w:r w:rsidR="00784FC4">
        <w:rPr>
          <w:rFonts w:eastAsia="Times New Roman"/>
        </w:rPr>
        <w:t xml:space="preserve">Liksom i rapporten om förskolan bedömer översiktens författare att de internationella studier som ingår har tydlig relevans för svenska förhållanden (15). </w:t>
      </w:r>
    </w:p>
    <w:p w14:paraId="0061B8BC" w14:textId="77777777" w:rsidR="00C25F93" w:rsidRDefault="00C25F93" w:rsidP="00D23D82">
      <w:pPr>
        <w:rPr>
          <w:rFonts w:eastAsia="Times New Roman"/>
        </w:rPr>
      </w:pPr>
    </w:p>
    <w:p w14:paraId="3FF8C2CA" w14:textId="77777777" w:rsidR="00500F86" w:rsidRDefault="006F30BA" w:rsidP="00D23D82">
      <w:pPr>
        <w:rPr>
          <w:rFonts w:eastAsia="Times New Roman"/>
        </w:rPr>
      </w:pPr>
      <w:r>
        <w:rPr>
          <w:rFonts w:eastAsia="Times New Roman"/>
        </w:rPr>
        <w:t>Materialet är alltså betydligt större än i rapporten om förskolan</w:t>
      </w:r>
      <w:r w:rsidR="00220349">
        <w:rPr>
          <w:rFonts w:eastAsia="Times New Roman"/>
        </w:rPr>
        <w:t xml:space="preserve">, och </w:t>
      </w:r>
      <w:r w:rsidR="006E214C">
        <w:rPr>
          <w:rFonts w:eastAsia="Times New Roman"/>
        </w:rPr>
        <w:t>textens omfång</w:t>
      </w:r>
      <w:r w:rsidR="00220349">
        <w:rPr>
          <w:rFonts w:eastAsia="Times New Roman"/>
        </w:rPr>
        <w:t xml:space="preserve"> drygt det dubbla</w:t>
      </w:r>
      <w:r>
        <w:rPr>
          <w:rFonts w:eastAsia="Times New Roman"/>
        </w:rPr>
        <w:t xml:space="preserve">. För att strukturera </w:t>
      </w:r>
      <w:r w:rsidR="00220349">
        <w:rPr>
          <w:rFonts w:eastAsia="Times New Roman"/>
        </w:rPr>
        <w:t xml:space="preserve">materialet har </w:t>
      </w:r>
      <w:r>
        <w:rPr>
          <w:rFonts w:eastAsia="Times New Roman"/>
        </w:rPr>
        <w:t xml:space="preserve">författarna delat in studierna med avseende på deltagarnas ålder och på vilka typer av digitala lärresurser som har använts. </w:t>
      </w:r>
      <w:r w:rsidR="00373BB8">
        <w:rPr>
          <w:rFonts w:eastAsia="Times New Roman"/>
        </w:rPr>
        <w:t xml:space="preserve">Vad gäller ålder har studierna </w:t>
      </w:r>
      <w:r w:rsidR="00646989">
        <w:rPr>
          <w:rFonts w:eastAsia="Times New Roman"/>
        </w:rPr>
        <w:t xml:space="preserve">delats in i tre </w:t>
      </w:r>
      <w:r w:rsidR="00373BB8">
        <w:rPr>
          <w:rFonts w:eastAsia="Times New Roman"/>
        </w:rPr>
        <w:t>grupper.</w:t>
      </w:r>
      <w:r w:rsidR="00646989">
        <w:rPr>
          <w:rFonts w:eastAsia="Times New Roman"/>
        </w:rPr>
        <w:t xml:space="preserve"> </w:t>
      </w:r>
      <w:r w:rsidR="00373BB8">
        <w:rPr>
          <w:rFonts w:eastAsia="Times New Roman"/>
        </w:rPr>
        <w:t xml:space="preserve">Dessa </w:t>
      </w:r>
      <w:r w:rsidR="00646989">
        <w:rPr>
          <w:rFonts w:eastAsia="Times New Roman"/>
        </w:rPr>
        <w:t xml:space="preserve">är, som nämndes i ett tidigare avsnitt, de som i Sverige skulle motsvara årskurs 1-3, </w:t>
      </w:r>
      <w:r w:rsidR="00AB0FE0">
        <w:rPr>
          <w:rFonts w:eastAsia="Times New Roman"/>
        </w:rPr>
        <w:t xml:space="preserve">årskurs </w:t>
      </w:r>
      <w:r w:rsidR="00646989">
        <w:rPr>
          <w:rFonts w:eastAsia="Times New Roman"/>
        </w:rPr>
        <w:t xml:space="preserve">4-6 respektive årskurs 7-9 och gymnasiet. </w:t>
      </w:r>
      <w:r w:rsidR="00D76E44">
        <w:rPr>
          <w:rFonts w:eastAsia="Times New Roman"/>
        </w:rPr>
        <w:t>Fyra kategorier av lärresurser</w:t>
      </w:r>
      <w:r w:rsidR="0072675D">
        <w:rPr>
          <w:rFonts w:eastAsia="Times New Roman"/>
        </w:rPr>
        <w:t>,</w:t>
      </w:r>
      <w:r w:rsidR="00D76E44">
        <w:rPr>
          <w:rFonts w:eastAsia="Times New Roman"/>
        </w:rPr>
        <w:t xml:space="preserve"> </w:t>
      </w:r>
      <w:r w:rsidR="0023791B">
        <w:rPr>
          <w:rFonts w:eastAsia="Times New Roman"/>
        </w:rPr>
        <w:t xml:space="preserve">vilka samtliga </w:t>
      </w:r>
      <w:r w:rsidR="0072675D">
        <w:rPr>
          <w:rFonts w:eastAsia="Times New Roman"/>
        </w:rPr>
        <w:t xml:space="preserve">nämns även i rapporten om förskolan, </w:t>
      </w:r>
      <w:r w:rsidR="00D76E44">
        <w:rPr>
          <w:rFonts w:eastAsia="Times New Roman"/>
        </w:rPr>
        <w:t>har hållits isär: uppgift</w:t>
      </w:r>
      <w:r w:rsidR="0072675D">
        <w:rPr>
          <w:rFonts w:eastAsia="Times New Roman"/>
        </w:rPr>
        <w:t xml:space="preserve">er, objekt, spel och kurspaket. </w:t>
      </w:r>
      <w:r w:rsidR="00AE0EBB">
        <w:rPr>
          <w:rFonts w:eastAsia="Times New Roman"/>
        </w:rPr>
        <w:t xml:space="preserve">Dispositionen är i sina huvuddrag densamma som i den andra delrapporten, </w:t>
      </w:r>
      <w:r w:rsidR="005D76F3">
        <w:rPr>
          <w:rFonts w:eastAsia="Times New Roman"/>
        </w:rPr>
        <w:t>konstaterade</w:t>
      </w:r>
      <w:r w:rsidR="00AE0EBB">
        <w:rPr>
          <w:rFonts w:eastAsia="Times New Roman"/>
        </w:rPr>
        <w:t xml:space="preserve"> jag nyss. Man kan </w:t>
      </w:r>
      <w:r w:rsidR="005D76F3">
        <w:rPr>
          <w:rFonts w:eastAsia="Times New Roman"/>
        </w:rPr>
        <w:t xml:space="preserve">dock </w:t>
      </w:r>
      <w:r w:rsidR="00AE0EBB">
        <w:rPr>
          <w:rFonts w:eastAsia="Times New Roman"/>
        </w:rPr>
        <w:t xml:space="preserve">med samma fog beskriva den som betydligt mer komplicerad, till följd av </w:t>
      </w:r>
      <w:r w:rsidR="003A7C68">
        <w:rPr>
          <w:rFonts w:eastAsia="Times New Roman"/>
        </w:rPr>
        <w:t xml:space="preserve">denna kategorisering </w:t>
      </w:r>
      <w:r w:rsidR="00AE0EBB">
        <w:rPr>
          <w:rFonts w:eastAsia="Times New Roman"/>
        </w:rPr>
        <w:t xml:space="preserve">av </w:t>
      </w:r>
      <w:r w:rsidR="003A7C68">
        <w:rPr>
          <w:rFonts w:eastAsia="Times New Roman"/>
        </w:rPr>
        <w:t>materialet</w:t>
      </w:r>
      <w:r w:rsidR="00AE0EBB">
        <w:rPr>
          <w:rFonts w:eastAsia="Times New Roman"/>
        </w:rPr>
        <w:t xml:space="preserve"> </w:t>
      </w:r>
      <w:r w:rsidR="003A7C68">
        <w:rPr>
          <w:rFonts w:eastAsia="Times New Roman"/>
        </w:rPr>
        <w:t xml:space="preserve">- </w:t>
      </w:r>
      <w:r w:rsidR="00AE0EBB">
        <w:rPr>
          <w:rFonts w:eastAsia="Times New Roman"/>
        </w:rPr>
        <w:t xml:space="preserve">resultaten </w:t>
      </w:r>
      <w:r w:rsidR="00C051A8">
        <w:rPr>
          <w:rFonts w:eastAsia="Times New Roman"/>
        </w:rPr>
        <w:t xml:space="preserve">redovisas </w:t>
      </w:r>
      <w:r w:rsidR="00AE0EBB">
        <w:rPr>
          <w:rFonts w:eastAsia="Times New Roman"/>
        </w:rPr>
        <w:t xml:space="preserve">nämligen </w:t>
      </w:r>
      <w:r w:rsidR="00C051A8">
        <w:rPr>
          <w:rFonts w:eastAsia="Times New Roman"/>
        </w:rPr>
        <w:t>åldersgrupp för åldersgrupp, och inom varje åldersgrupp res</w:t>
      </w:r>
      <w:r w:rsidR="00500F86">
        <w:rPr>
          <w:rFonts w:eastAsia="Times New Roman"/>
        </w:rPr>
        <w:t>urskategori för resurskategori.</w:t>
      </w:r>
    </w:p>
    <w:p w14:paraId="45558598" w14:textId="77777777" w:rsidR="00500F86" w:rsidRDefault="00500F86" w:rsidP="00D23D82">
      <w:pPr>
        <w:rPr>
          <w:rFonts w:eastAsia="Times New Roman"/>
        </w:rPr>
      </w:pPr>
    </w:p>
    <w:p w14:paraId="7CF2E1A5" w14:textId="77777777" w:rsidR="00A4204A" w:rsidRDefault="00500F86" w:rsidP="00D23D82">
      <w:pPr>
        <w:rPr>
          <w:rFonts w:eastAsia="Times New Roman"/>
        </w:rPr>
      </w:pPr>
      <w:r>
        <w:rPr>
          <w:rFonts w:eastAsia="Times New Roman"/>
        </w:rPr>
        <w:lastRenderedPageBreak/>
        <w:t xml:space="preserve">Även denna gång redovisas översiktens resultat på tre nivåer. </w:t>
      </w:r>
      <w:r w:rsidR="00E33441">
        <w:rPr>
          <w:rFonts w:eastAsia="Times New Roman"/>
        </w:rPr>
        <w:t>I rapporten om förskolan var de gen</w:t>
      </w:r>
      <w:r w:rsidR="00C70BAF">
        <w:rPr>
          <w:rFonts w:eastAsia="Times New Roman"/>
        </w:rPr>
        <w:t>e</w:t>
      </w:r>
      <w:r w:rsidR="00E33441">
        <w:rPr>
          <w:rFonts w:eastAsia="Times New Roman"/>
        </w:rPr>
        <w:t>rella slutsatserna tre till antalet; här är de betydligt fler</w:t>
      </w:r>
      <w:r w:rsidR="00073E33">
        <w:rPr>
          <w:rFonts w:eastAsia="Times New Roman"/>
        </w:rPr>
        <w:t xml:space="preserve">, och </w:t>
      </w:r>
      <w:r w:rsidR="004020E6">
        <w:rPr>
          <w:rFonts w:eastAsia="Times New Roman"/>
        </w:rPr>
        <w:t xml:space="preserve">gäller </w:t>
      </w:r>
      <w:r w:rsidR="00073E33">
        <w:rPr>
          <w:rFonts w:eastAsia="Times New Roman"/>
        </w:rPr>
        <w:t xml:space="preserve">många olika </w:t>
      </w:r>
      <w:r w:rsidR="004020E6">
        <w:rPr>
          <w:rFonts w:eastAsia="Times New Roman"/>
        </w:rPr>
        <w:t xml:space="preserve">aspekter </w:t>
      </w:r>
      <w:r w:rsidR="007B1865">
        <w:rPr>
          <w:rFonts w:eastAsia="Times New Roman"/>
        </w:rPr>
        <w:t xml:space="preserve">av användningen av digitala lärresurser i matematikundervisning </w:t>
      </w:r>
      <w:r w:rsidR="00E33441">
        <w:rPr>
          <w:rFonts w:eastAsia="Times New Roman"/>
        </w:rPr>
        <w:t xml:space="preserve">(16-18). </w:t>
      </w:r>
      <w:r w:rsidR="00C63D27">
        <w:rPr>
          <w:rFonts w:eastAsia="Times New Roman"/>
        </w:rPr>
        <w:t xml:space="preserve">På nästa nivå ges därefter sammanfattningar av de studier som gäller var och en av de tre åldersgrupperna. </w:t>
      </w:r>
      <w:r w:rsidR="006E3C27">
        <w:rPr>
          <w:rFonts w:eastAsia="Times New Roman"/>
        </w:rPr>
        <w:t>Liksom resonemangen på motsvarande nivå i rapporten om förskolan är dessa avsnitt genomgående välstrukturerade</w:t>
      </w:r>
      <w:r w:rsidR="005A44F5">
        <w:rPr>
          <w:rFonts w:eastAsia="Times New Roman"/>
        </w:rPr>
        <w:t xml:space="preserve"> och informativa</w:t>
      </w:r>
      <w:r w:rsidR="006E3C27">
        <w:rPr>
          <w:rFonts w:eastAsia="Times New Roman"/>
        </w:rPr>
        <w:t>. Avsnitteten är uppdelade i under</w:t>
      </w:r>
      <w:r w:rsidR="006C5F13">
        <w:rPr>
          <w:rFonts w:eastAsia="Times New Roman"/>
        </w:rPr>
        <w:t>a</w:t>
      </w:r>
      <w:r w:rsidR="006E3C27">
        <w:rPr>
          <w:rFonts w:eastAsia="Times New Roman"/>
        </w:rPr>
        <w:t xml:space="preserve">vsnitt, </w:t>
      </w:r>
      <w:r w:rsidR="00F25450">
        <w:rPr>
          <w:rFonts w:eastAsia="Times New Roman"/>
        </w:rPr>
        <w:t>mellan</w:t>
      </w:r>
      <w:r w:rsidR="006E3C27">
        <w:rPr>
          <w:rFonts w:eastAsia="Times New Roman"/>
        </w:rPr>
        <w:t xml:space="preserve"> fem </w:t>
      </w:r>
      <w:r w:rsidR="00F25450">
        <w:rPr>
          <w:rFonts w:eastAsia="Times New Roman"/>
        </w:rPr>
        <w:t xml:space="preserve">och </w:t>
      </w:r>
      <w:r w:rsidR="006E3C27">
        <w:rPr>
          <w:rFonts w:eastAsia="Times New Roman"/>
        </w:rPr>
        <w:t xml:space="preserve">åtta </w:t>
      </w:r>
      <w:r w:rsidR="00F25450">
        <w:rPr>
          <w:rFonts w:eastAsia="Times New Roman"/>
        </w:rPr>
        <w:t>till antalet</w:t>
      </w:r>
      <w:r w:rsidR="006E3C27">
        <w:rPr>
          <w:rFonts w:eastAsia="Times New Roman"/>
        </w:rPr>
        <w:t xml:space="preserve">, vart och ett ägnat ett eget tema i primärlitteraturen; ibland återkommer samma tema i flera åldersgrupper. </w:t>
      </w:r>
      <w:r w:rsidR="005C19BA">
        <w:rPr>
          <w:rFonts w:eastAsia="Times New Roman"/>
        </w:rPr>
        <w:t xml:space="preserve">Liksom i rapporten om försolan följs avsnitten på mellannivå av redogörelser för de enskilda studierna, denna gång uppdelade på respektive </w:t>
      </w:r>
      <w:r w:rsidR="00F25450">
        <w:rPr>
          <w:rFonts w:eastAsia="Times New Roman"/>
        </w:rPr>
        <w:t>kategori av</w:t>
      </w:r>
      <w:r w:rsidR="005C19BA">
        <w:rPr>
          <w:rFonts w:eastAsia="Times New Roman"/>
        </w:rPr>
        <w:t xml:space="preserve"> lärresurs. </w:t>
      </w:r>
      <w:r w:rsidR="00863B82">
        <w:rPr>
          <w:rFonts w:eastAsia="Times New Roman"/>
        </w:rPr>
        <w:t xml:space="preserve">Den som efter att ha tagit del av sammanfattningarna på de första två nivåerna </w:t>
      </w:r>
      <w:r w:rsidR="005A44F5">
        <w:rPr>
          <w:rFonts w:eastAsia="Times New Roman"/>
        </w:rPr>
        <w:t>ges</w:t>
      </w:r>
      <w:r w:rsidR="000F56AF">
        <w:rPr>
          <w:rFonts w:eastAsia="Times New Roman"/>
        </w:rPr>
        <w:t xml:space="preserve"> här tillgång till betydligt fler detaljer om studier </w:t>
      </w:r>
      <w:r w:rsidR="001F38A2">
        <w:rPr>
          <w:rFonts w:eastAsia="Times New Roman"/>
        </w:rPr>
        <w:t xml:space="preserve">som kan vara av intresse, och uppdelningen i </w:t>
      </w:r>
      <w:r w:rsidR="005A44F5">
        <w:rPr>
          <w:rFonts w:eastAsia="Times New Roman"/>
        </w:rPr>
        <w:t>separata</w:t>
      </w:r>
      <w:r w:rsidR="001F38A2">
        <w:rPr>
          <w:rFonts w:eastAsia="Times New Roman"/>
        </w:rPr>
        <w:t xml:space="preserve"> typer av resurser för </w:t>
      </w:r>
      <w:r w:rsidR="00DE5D51">
        <w:rPr>
          <w:rFonts w:eastAsia="Times New Roman"/>
        </w:rPr>
        <w:t>olika</w:t>
      </w:r>
      <w:r w:rsidR="001F38A2">
        <w:rPr>
          <w:rFonts w:eastAsia="Times New Roman"/>
        </w:rPr>
        <w:t xml:space="preserve"> åldersgrupper underlättar på samma sätt för potentiella användare att orientera sig om </w:t>
      </w:r>
      <w:r w:rsidR="001F38A2" w:rsidRPr="001F38A2">
        <w:rPr>
          <w:rFonts w:eastAsia="Times New Roman"/>
        </w:rPr>
        <w:t>forskning</w:t>
      </w:r>
      <w:r w:rsidR="001F38A2">
        <w:rPr>
          <w:rFonts w:eastAsia="Times New Roman"/>
        </w:rPr>
        <w:t>en</w:t>
      </w:r>
      <w:r w:rsidR="001F38A2" w:rsidRPr="001F38A2">
        <w:rPr>
          <w:rFonts w:eastAsia="Times New Roman"/>
        </w:rPr>
        <w:t xml:space="preserve"> </w:t>
      </w:r>
      <w:r w:rsidR="001F38A2">
        <w:rPr>
          <w:rFonts w:eastAsia="Times New Roman"/>
        </w:rPr>
        <w:t xml:space="preserve">om någon specifik lärresurs. </w:t>
      </w:r>
      <w:r w:rsidR="008C5421">
        <w:rPr>
          <w:rFonts w:eastAsia="Times New Roman"/>
        </w:rPr>
        <w:t>I övrigt är länken mellan resultatredovisningens andra och tredje nivå, liksom i rapporten om förskolan, emellertid inte särskilt tydlig.</w:t>
      </w:r>
    </w:p>
    <w:p w14:paraId="0CC77772" w14:textId="77777777" w:rsidR="00076268" w:rsidRDefault="00076268" w:rsidP="00D23D82">
      <w:pPr>
        <w:rPr>
          <w:rFonts w:eastAsia="Times New Roman"/>
        </w:rPr>
      </w:pPr>
    </w:p>
    <w:p w14:paraId="5B3E17AB" w14:textId="77777777" w:rsidR="00C25F93" w:rsidRDefault="00076268" w:rsidP="00D23D82">
      <w:pPr>
        <w:rPr>
          <w:rFonts w:eastAsia="Times New Roman"/>
        </w:rPr>
      </w:pPr>
      <w:r>
        <w:rPr>
          <w:rFonts w:eastAsia="Times New Roman"/>
        </w:rPr>
        <w:t xml:space="preserve">Översikten ger en relativt positiv bild av digitala lärressurser för matematikundervisning i skolan. Så här lyder den </w:t>
      </w:r>
      <w:r w:rsidR="00FD3FEC">
        <w:rPr>
          <w:rFonts w:eastAsia="Times New Roman"/>
        </w:rPr>
        <w:t>inledande</w:t>
      </w:r>
      <w:r>
        <w:rPr>
          <w:rFonts w:eastAsia="Times New Roman"/>
        </w:rPr>
        <w:t xml:space="preserve"> meningen i </w:t>
      </w:r>
      <w:r w:rsidR="00FD3FEC">
        <w:rPr>
          <w:rFonts w:eastAsia="Times New Roman"/>
        </w:rPr>
        <w:t>resultatkapitlets första</w:t>
      </w:r>
      <w:r w:rsidR="003744B6">
        <w:rPr>
          <w:rFonts w:eastAsia="Times New Roman"/>
        </w:rPr>
        <w:t xml:space="preserve"> generella slutsats:</w:t>
      </w:r>
    </w:p>
    <w:p w14:paraId="781EF15B" w14:textId="77777777" w:rsidR="00076268" w:rsidRDefault="00076268" w:rsidP="00D23D82">
      <w:pPr>
        <w:rPr>
          <w:rFonts w:eastAsia="Times New Roman"/>
        </w:rPr>
      </w:pPr>
    </w:p>
    <w:p w14:paraId="561E2206" w14:textId="77777777" w:rsidR="00076268" w:rsidRDefault="00076268" w:rsidP="000213BA">
      <w:pPr>
        <w:pStyle w:val="Cit"/>
      </w:pPr>
      <w:r w:rsidRPr="00076268">
        <w:t>Genomgången visar tydligt att det går att konstruera digitala lärresurser som kan</w:t>
      </w:r>
      <w:r>
        <w:t xml:space="preserve"> </w:t>
      </w:r>
      <w:r w:rsidRPr="00076268">
        <w:t>användas för att utveckla olika matematiska förm</w:t>
      </w:r>
      <w:r>
        <w:t xml:space="preserve">ågor, i synnerhet om de används </w:t>
      </w:r>
      <w:r w:rsidRPr="00076268">
        <w:t>i en i övrigt rik undervisningsmiljö.</w:t>
      </w:r>
    </w:p>
    <w:p w14:paraId="5D0C24A8" w14:textId="77777777" w:rsidR="00C70BAF" w:rsidRDefault="00C70BAF" w:rsidP="00D23D82">
      <w:pPr>
        <w:rPr>
          <w:rFonts w:eastAsia="Times New Roman"/>
        </w:rPr>
      </w:pPr>
    </w:p>
    <w:p w14:paraId="35E73120" w14:textId="77777777" w:rsidR="00076268" w:rsidRDefault="00076268" w:rsidP="00D23D82">
      <w:pPr>
        <w:rPr>
          <w:rFonts w:eastAsia="Times New Roman"/>
        </w:rPr>
      </w:pPr>
      <w:r>
        <w:rPr>
          <w:rFonts w:eastAsia="Times New Roman"/>
        </w:rPr>
        <w:t xml:space="preserve">Den optimistiska bild som här </w:t>
      </w:r>
      <w:r w:rsidR="003744B6">
        <w:rPr>
          <w:rFonts w:eastAsia="Times New Roman"/>
        </w:rPr>
        <w:t>förmedlas</w:t>
      </w:r>
      <w:r>
        <w:rPr>
          <w:rFonts w:eastAsia="Times New Roman"/>
        </w:rPr>
        <w:t xml:space="preserve"> nyanseras dock genom hela rapporten, </w:t>
      </w:r>
      <w:r w:rsidR="003744B6">
        <w:rPr>
          <w:rFonts w:eastAsia="Times New Roman"/>
        </w:rPr>
        <w:t xml:space="preserve">vars resonemang rymmer </w:t>
      </w:r>
      <w:r w:rsidR="00FD3FEC">
        <w:rPr>
          <w:rFonts w:eastAsia="Times New Roman"/>
        </w:rPr>
        <w:t xml:space="preserve">mängder av nyanser och förbehåll - varav det första ges redan i meningen direkt efter den nyss citerade. Här varnas läsarna för att </w:t>
      </w:r>
      <w:r w:rsidR="003744B6">
        <w:rPr>
          <w:rFonts w:eastAsia="Times New Roman"/>
        </w:rPr>
        <w:t>anta</w:t>
      </w:r>
    </w:p>
    <w:p w14:paraId="01546847" w14:textId="77777777" w:rsidR="00FD3FEC" w:rsidRDefault="00FD3FEC" w:rsidP="00D23D82">
      <w:pPr>
        <w:rPr>
          <w:rFonts w:eastAsia="Times New Roman"/>
        </w:rPr>
      </w:pPr>
    </w:p>
    <w:p w14:paraId="1E31227E" w14:textId="77777777" w:rsidR="00C70BAF" w:rsidRDefault="00FD3FEC" w:rsidP="000213BA">
      <w:pPr>
        <w:pStyle w:val="Cit"/>
      </w:pPr>
      <w:r w:rsidRPr="00FD3FEC">
        <w:t>att en lika</w:t>
      </w:r>
      <w:r>
        <w:t xml:space="preserve"> </w:t>
      </w:r>
      <w:r w:rsidRPr="00FD3FEC">
        <w:t>effektiv undervisning inte skulle kunna utform</w:t>
      </w:r>
      <w:r>
        <w:t xml:space="preserve">as på andra sätt, utan digitala </w:t>
      </w:r>
      <w:r w:rsidRPr="00FD3FEC">
        <w:t>lärresurser.</w:t>
      </w:r>
      <w:r>
        <w:t xml:space="preserve"> (16)</w:t>
      </w:r>
    </w:p>
    <w:p w14:paraId="5E05062D" w14:textId="77777777" w:rsidR="00FD3FEC" w:rsidRDefault="00FD3FEC" w:rsidP="00FD3FEC">
      <w:pPr>
        <w:rPr>
          <w:rFonts w:eastAsia="Times New Roman"/>
        </w:rPr>
      </w:pPr>
    </w:p>
    <w:p w14:paraId="01CADFDB" w14:textId="77777777" w:rsidR="0098508A" w:rsidRDefault="0098508A" w:rsidP="0098508A">
      <w:pPr>
        <w:rPr>
          <w:rFonts w:eastAsia="Times New Roman"/>
        </w:rPr>
      </w:pPr>
      <w:r>
        <w:rPr>
          <w:rFonts w:eastAsia="Times New Roman"/>
        </w:rPr>
        <w:t>Bland övriga slutsatser på denna nivå av resultatredovisningen nämns även denna gång betydelsen av att resurserna uppmuntrar till samtal (17). Slutsatsen återkommer i ett av de underavsnitt som sammanfattar studier om årskurs 7-9 och gymnasiet (54), men tillskrivs inte alls samma betydelse som i rapporten om förskolan.</w:t>
      </w:r>
    </w:p>
    <w:p w14:paraId="5EFA74C7" w14:textId="77777777" w:rsidR="0098508A" w:rsidRDefault="0098508A" w:rsidP="0098508A">
      <w:pPr>
        <w:rPr>
          <w:rFonts w:eastAsia="Times New Roman"/>
        </w:rPr>
      </w:pPr>
    </w:p>
    <w:p w14:paraId="495ED42E" w14:textId="77777777" w:rsidR="00FD3FEC" w:rsidRDefault="00DB488B" w:rsidP="00FD3FEC">
      <w:pPr>
        <w:rPr>
          <w:rFonts w:eastAsia="Times New Roman"/>
        </w:rPr>
      </w:pPr>
      <w:r>
        <w:rPr>
          <w:rFonts w:eastAsia="Times New Roman"/>
        </w:rPr>
        <w:t>Det induktiva tillvägagångssätt som är tydligt i rapporten om förskolan kan noteras även i denna delrapport. Författarna föreslår t ex att en slutsats som i en av studierna dras om vad som kännetecknar välfungerande digitala lärresurser gäller bortom den enskilda studien. Slutsatsen ifråga</w:t>
      </w:r>
      <w:r w:rsidR="00C614CB">
        <w:rPr>
          <w:rFonts w:eastAsia="Times New Roman"/>
        </w:rPr>
        <w:t xml:space="preserve"> handlar om “</w:t>
      </w:r>
      <w:r w:rsidR="00C614CB" w:rsidRPr="00C614CB">
        <w:rPr>
          <w:rFonts w:eastAsia="Times New Roman"/>
        </w:rPr>
        <w:t>en slags pedagogisk trovärdighet</w:t>
      </w:r>
      <w:r w:rsidR="00C614CB">
        <w:rPr>
          <w:rFonts w:eastAsia="Times New Roman"/>
        </w:rPr>
        <w:t xml:space="preserve">”. </w:t>
      </w:r>
      <w:r w:rsidR="00E60190">
        <w:rPr>
          <w:rFonts w:eastAsia="Times New Roman"/>
        </w:rPr>
        <w:t xml:space="preserve">Närmare bestämt bör lärresurser </w:t>
      </w:r>
      <w:r w:rsidR="00A75E5C">
        <w:rPr>
          <w:rFonts w:eastAsia="Times New Roman"/>
        </w:rPr>
        <w:t xml:space="preserve">inom den kategori som här diskuteras </w:t>
      </w:r>
      <w:r w:rsidR="00C614CB">
        <w:rPr>
          <w:rFonts w:eastAsia="Times New Roman"/>
        </w:rPr>
        <w:t>vara konstruerade</w:t>
      </w:r>
    </w:p>
    <w:p w14:paraId="55FECA0B" w14:textId="77777777" w:rsidR="00C614CB" w:rsidRDefault="00C614CB" w:rsidP="00FD3FEC">
      <w:pPr>
        <w:rPr>
          <w:rFonts w:eastAsia="Times New Roman"/>
        </w:rPr>
      </w:pPr>
    </w:p>
    <w:p w14:paraId="2A99DFF7" w14:textId="77777777" w:rsidR="00C614CB" w:rsidRDefault="00C614CB" w:rsidP="00C614CB">
      <w:pPr>
        <w:pStyle w:val="Cit"/>
      </w:pPr>
      <w:r w:rsidRPr="00C614CB">
        <w:t xml:space="preserve">på så sätt att eleverna upplever att de </w:t>
      </w:r>
      <w:r w:rsidRPr="00C614CB">
        <w:rPr>
          <w:i/>
        </w:rPr>
        <w:t xml:space="preserve">gör </w:t>
      </w:r>
      <w:r w:rsidRPr="00C614CB">
        <w:t>matematik. Flera</w:t>
      </w:r>
      <w:r>
        <w:t xml:space="preserve"> </w:t>
      </w:r>
      <w:r w:rsidRPr="00C614CB">
        <w:t>studier i underlaget kan tolkas ge stöd för detta</w:t>
      </w:r>
      <w:r>
        <w:t>. (54; kursiv i originalet)</w:t>
      </w:r>
    </w:p>
    <w:p w14:paraId="6C31C3A5" w14:textId="77777777" w:rsidR="00C614CB" w:rsidRDefault="00C614CB" w:rsidP="00C614CB">
      <w:pPr>
        <w:rPr>
          <w:rFonts w:eastAsia="Times New Roman"/>
        </w:rPr>
      </w:pPr>
    </w:p>
    <w:p w14:paraId="4C2B84A1" w14:textId="304B6CF7" w:rsidR="00ED591C" w:rsidRDefault="00ED591C" w:rsidP="00C614CB">
      <w:pPr>
        <w:rPr>
          <w:rFonts w:eastAsia="Times New Roman"/>
        </w:rPr>
      </w:pPr>
      <w:r>
        <w:rPr>
          <w:rFonts w:eastAsia="Times New Roman"/>
        </w:rPr>
        <w:t xml:space="preserve">I ett resonemang som på resultatredovisningens mellannivå förs om sätt att integrera lärresurser i den övriga undervisningen är ambitionen att generalisera likaså tydlig, om än den föreslagna slutsatsen är </w:t>
      </w:r>
      <w:r w:rsidR="004D680A">
        <w:rPr>
          <w:rFonts w:eastAsia="Times New Roman"/>
        </w:rPr>
        <w:t xml:space="preserve">tentativ. </w:t>
      </w:r>
      <w:r w:rsidR="00A1108F">
        <w:rPr>
          <w:rFonts w:eastAsia="Times New Roman"/>
        </w:rPr>
        <w:t xml:space="preserve">Efter att ha kommenterat en handfull slutsatser av relevans för sambandet ifråga </w:t>
      </w:r>
      <w:r w:rsidR="0042398B">
        <w:rPr>
          <w:rFonts w:eastAsia="Times New Roman"/>
        </w:rPr>
        <w:t>gör</w:t>
      </w:r>
      <w:r w:rsidR="00A1108F">
        <w:rPr>
          <w:rFonts w:eastAsia="Times New Roman"/>
        </w:rPr>
        <w:t xml:space="preserve"> författarna följande</w:t>
      </w:r>
      <w:r w:rsidR="0042398B">
        <w:rPr>
          <w:rFonts w:eastAsia="Times New Roman"/>
        </w:rPr>
        <w:t xml:space="preserve"> observation</w:t>
      </w:r>
      <w:r w:rsidR="00A1108F">
        <w:rPr>
          <w:rFonts w:eastAsia="Times New Roman"/>
        </w:rPr>
        <w:t>:</w:t>
      </w:r>
    </w:p>
    <w:p w14:paraId="3C8BFFB6" w14:textId="77777777" w:rsidR="00ED591C" w:rsidRDefault="00ED591C" w:rsidP="00C614CB">
      <w:pPr>
        <w:rPr>
          <w:rFonts w:eastAsia="Times New Roman"/>
        </w:rPr>
      </w:pPr>
    </w:p>
    <w:p w14:paraId="61DDC02F" w14:textId="77777777" w:rsidR="00C614CB" w:rsidRDefault="0042398B" w:rsidP="0042398B">
      <w:pPr>
        <w:pStyle w:val="Cit"/>
      </w:pPr>
      <w:r w:rsidRPr="0042398B">
        <w:t>Möjligen</w:t>
      </w:r>
      <w:r>
        <w:t xml:space="preserve"> </w:t>
      </w:r>
      <w:r w:rsidRPr="0042398B">
        <w:t>är det alltså så att dessa studier tillsa</w:t>
      </w:r>
      <w:r>
        <w:t xml:space="preserve">mmans är en generell princip på </w:t>
      </w:r>
      <w:r w:rsidRPr="0042398B">
        <w:t>spåret, nämligen</w:t>
      </w:r>
      <w:r>
        <w:t xml:space="preserve"> </w:t>
      </w:r>
      <w:r w:rsidRPr="0042398B">
        <w:t>att just kombinationen av digita</w:t>
      </w:r>
      <w:r>
        <w:t xml:space="preserve">la lärresurser som fokuserar på </w:t>
      </w:r>
      <w:r w:rsidRPr="0042398B">
        <w:t>begreppsliga aspekter</w:t>
      </w:r>
      <w:r>
        <w:t xml:space="preserve"> </w:t>
      </w:r>
      <w:r w:rsidRPr="0042398B">
        <w:t>av matematiskt innehåll, tillsammans med undervisning som inne</w:t>
      </w:r>
      <w:r>
        <w:t xml:space="preserve">håller </w:t>
      </w:r>
      <w:r w:rsidRPr="0042398B">
        <w:t>en komponent</w:t>
      </w:r>
      <w:r>
        <w:t xml:space="preserve"> </w:t>
      </w:r>
      <w:r w:rsidRPr="0042398B">
        <w:t>där matematikupplevelsen diskuteras och problematiseras, är bra.</w:t>
      </w:r>
      <w:r>
        <w:t xml:space="preserve"> (37)</w:t>
      </w:r>
    </w:p>
    <w:p w14:paraId="1322A777" w14:textId="77777777" w:rsidR="0042398B" w:rsidRDefault="0042398B" w:rsidP="0042398B">
      <w:pPr>
        <w:rPr>
          <w:rFonts w:eastAsia="Times New Roman"/>
        </w:rPr>
      </w:pPr>
    </w:p>
    <w:p w14:paraId="337F3249" w14:textId="58A01333" w:rsidR="0042398B" w:rsidRDefault="005D1D60" w:rsidP="0042398B">
      <w:pPr>
        <w:rPr>
          <w:rFonts w:eastAsia="Times New Roman"/>
        </w:rPr>
      </w:pPr>
      <w:r>
        <w:rPr>
          <w:rFonts w:eastAsia="Times New Roman"/>
        </w:rPr>
        <w:t xml:space="preserve">Som avslutning på detta avsnitt vill jag kort notera två drag som är framträdande i resultatredovisningen. </w:t>
      </w:r>
      <w:r w:rsidR="00A35C44">
        <w:rPr>
          <w:rFonts w:eastAsia="Times New Roman"/>
        </w:rPr>
        <w:t xml:space="preserve">Det ena gäller resonemang om brister </w:t>
      </w:r>
      <w:r w:rsidR="00C265C3">
        <w:rPr>
          <w:rFonts w:eastAsia="Times New Roman"/>
        </w:rPr>
        <w:t xml:space="preserve">i många </w:t>
      </w:r>
      <w:r w:rsidR="00A35C44">
        <w:rPr>
          <w:rFonts w:eastAsia="Times New Roman"/>
        </w:rPr>
        <w:t xml:space="preserve">av de studier som valts ut för översikten, med avseende såväl på deras genomförande som deras rapportering. </w:t>
      </w:r>
      <w:r w:rsidR="00E119EB">
        <w:rPr>
          <w:rFonts w:eastAsia="Times New Roman"/>
        </w:rPr>
        <w:t xml:space="preserve">På basis av sådana resonemang understryker författarna gång på gång att effekter av undervisning med digitala lärresurser som uppmätts i olika studier kan vara missvisande. </w:t>
      </w:r>
      <w:r w:rsidR="00C265C3">
        <w:rPr>
          <w:rFonts w:eastAsia="Times New Roman"/>
        </w:rPr>
        <w:t xml:space="preserve">Resultatredovisningen på mellannivå för årskurs 1-3 innehåller underavsnitt med rubrikerna </w:t>
      </w:r>
      <w:r w:rsidR="00E119EB">
        <w:rPr>
          <w:rFonts w:eastAsia="Times New Roman"/>
        </w:rPr>
        <w:t xml:space="preserve">“Effekterna kan hänga samman med </w:t>
      </w:r>
      <w:r w:rsidR="00E119EB" w:rsidRPr="00E119EB">
        <w:rPr>
          <w:rFonts w:eastAsia="Times New Roman"/>
        </w:rPr>
        <w:t>undervisningssituationerna</w:t>
      </w:r>
      <w:r w:rsidR="00E119EB">
        <w:rPr>
          <w:rFonts w:eastAsia="Times New Roman"/>
        </w:rPr>
        <w:t>” och “</w:t>
      </w:r>
      <w:r w:rsidR="00E119EB" w:rsidRPr="00E119EB">
        <w:rPr>
          <w:rFonts w:eastAsia="Times New Roman"/>
        </w:rPr>
        <w:t>Forskningstekniska aspekter påverkar effekternas storlek</w:t>
      </w:r>
      <w:r w:rsidR="00E119EB">
        <w:rPr>
          <w:rFonts w:eastAsia="Times New Roman"/>
        </w:rPr>
        <w:t>”. Den senare rubriken återkommer i sammanfattni</w:t>
      </w:r>
      <w:r w:rsidR="00F5785A">
        <w:rPr>
          <w:rFonts w:eastAsia="Times New Roman"/>
        </w:rPr>
        <w:t>ngen av resultat om årskurs 4-6. I resultatredovisningen för årskurs 7-9 och gymnasiet heter motsvarande underavsnitt “</w:t>
      </w:r>
      <w:r w:rsidR="00F5785A" w:rsidRPr="00F5785A">
        <w:rPr>
          <w:rFonts w:eastAsia="Times New Roman"/>
        </w:rPr>
        <w:t xml:space="preserve">Forskningsuppläggen </w:t>
      </w:r>
      <w:r w:rsidR="00F5785A">
        <w:rPr>
          <w:rFonts w:eastAsia="Times New Roman"/>
        </w:rPr>
        <w:t xml:space="preserve">har betydelse för tolkningen av </w:t>
      </w:r>
      <w:r w:rsidR="00F5785A" w:rsidRPr="00F5785A">
        <w:rPr>
          <w:rFonts w:eastAsia="Times New Roman"/>
        </w:rPr>
        <w:t>effekterna</w:t>
      </w:r>
      <w:r w:rsidR="00F5785A">
        <w:rPr>
          <w:rFonts w:eastAsia="Times New Roman"/>
        </w:rPr>
        <w:t xml:space="preserve">”. </w:t>
      </w:r>
      <w:r w:rsidR="00B63045">
        <w:rPr>
          <w:rFonts w:eastAsia="Times New Roman"/>
        </w:rPr>
        <w:t xml:space="preserve">Samma typ av förbehåll mot </w:t>
      </w:r>
      <w:r w:rsidR="006A0929">
        <w:rPr>
          <w:rFonts w:eastAsia="Times New Roman"/>
        </w:rPr>
        <w:t>redovisade</w:t>
      </w:r>
      <w:r w:rsidR="00B63045">
        <w:rPr>
          <w:rFonts w:eastAsia="Times New Roman"/>
        </w:rPr>
        <w:t xml:space="preserve"> effekter ges i rapporten om förskolan.</w:t>
      </w:r>
    </w:p>
    <w:p w14:paraId="31B8DAE2" w14:textId="77777777" w:rsidR="00B63045" w:rsidRDefault="00B63045" w:rsidP="0042398B">
      <w:pPr>
        <w:rPr>
          <w:rFonts w:eastAsia="Times New Roman"/>
        </w:rPr>
      </w:pPr>
    </w:p>
    <w:p w14:paraId="1BB1EB11" w14:textId="77777777" w:rsidR="00043B6E" w:rsidRDefault="00043B6E" w:rsidP="00F26987">
      <w:pPr>
        <w:rPr>
          <w:rFonts w:eastAsia="Times New Roman"/>
        </w:rPr>
      </w:pPr>
      <w:r>
        <w:rPr>
          <w:rFonts w:eastAsia="Times New Roman"/>
        </w:rPr>
        <w:lastRenderedPageBreak/>
        <w:t xml:space="preserve">Det andra draget som är värt att notera är att översikten innehåller en typ av diagram för sammanställning av effektstorlekar som utgör </w:t>
      </w:r>
      <w:r w:rsidR="00F763B6">
        <w:rPr>
          <w:rFonts w:eastAsia="Times New Roman"/>
        </w:rPr>
        <w:t xml:space="preserve">en central komponent i metaanalyser. I sådana skogsdiagram (forest plots) visualiseras effektstorlek och konfidensintervall dels för varje enskild studie, dels </w:t>
      </w:r>
      <w:r w:rsidR="00E6127F">
        <w:rPr>
          <w:rFonts w:eastAsia="Times New Roman"/>
        </w:rPr>
        <w:t xml:space="preserve">för </w:t>
      </w:r>
      <w:r w:rsidR="00F763B6">
        <w:rPr>
          <w:rFonts w:eastAsia="Times New Roman"/>
        </w:rPr>
        <w:t xml:space="preserve">hela materialets samlade värden. De 10 studier som ingår i rapporten om förskolan redovisas i ett skogsdiagram, medan delrapporten om skolan </w:t>
      </w:r>
      <w:r w:rsidR="004D1B9B">
        <w:rPr>
          <w:rFonts w:eastAsia="Times New Roman"/>
        </w:rPr>
        <w:t>presenterar ett skogsdiagram i var och en av sammanfattningarna</w:t>
      </w:r>
      <w:r w:rsidR="00F763B6">
        <w:rPr>
          <w:rFonts w:eastAsia="Times New Roman"/>
        </w:rPr>
        <w:t xml:space="preserve"> av studier för </w:t>
      </w:r>
      <w:r w:rsidR="004D1B9B">
        <w:rPr>
          <w:rFonts w:eastAsia="Times New Roman"/>
        </w:rPr>
        <w:t xml:space="preserve">en viss åldersgrupp. </w:t>
      </w:r>
      <w:r w:rsidR="00E6127F">
        <w:rPr>
          <w:rFonts w:eastAsia="Times New Roman"/>
        </w:rPr>
        <w:t>I samtliga skogsdiagram saknas</w:t>
      </w:r>
      <w:r w:rsidR="004D1B9B">
        <w:rPr>
          <w:rFonts w:eastAsia="Times New Roman"/>
        </w:rPr>
        <w:t xml:space="preserve"> dock totalvärden; </w:t>
      </w:r>
      <w:r w:rsidR="00E6127F">
        <w:rPr>
          <w:rFonts w:eastAsia="Times New Roman"/>
        </w:rPr>
        <w:t xml:space="preserve">diagrammen </w:t>
      </w:r>
      <w:r w:rsidR="004D1B9B">
        <w:rPr>
          <w:rFonts w:eastAsia="Times New Roman"/>
        </w:rPr>
        <w:t xml:space="preserve">är så att säga genomförda endast till hälften. </w:t>
      </w:r>
      <w:r w:rsidR="00F26987">
        <w:rPr>
          <w:rFonts w:eastAsia="Times New Roman"/>
        </w:rPr>
        <w:t>Detta och andra metodologiska val projektgruppen har gjort diskuteras i ett metodkapitel som är gemensamt för översiktens två delar.</w:t>
      </w:r>
    </w:p>
    <w:p w14:paraId="1393B249" w14:textId="77777777" w:rsidR="00F26987" w:rsidRDefault="00F26987" w:rsidP="00F26987">
      <w:pPr>
        <w:rPr>
          <w:rFonts w:eastAsia="Times New Roman"/>
        </w:rPr>
      </w:pPr>
    </w:p>
    <w:p w14:paraId="242B5C75" w14:textId="77777777" w:rsidR="00F26987" w:rsidRPr="000B384D" w:rsidRDefault="00F26987" w:rsidP="00F26987">
      <w:pPr>
        <w:rPr>
          <w:rFonts w:eastAsia="Times New Roman"/>
          <w:i/>
        </w:rPr>
      </w:pPr>
      <w:r w:rsidRPr="000B384D">
        <w:rPr>
          <w:rFonts w:eastAsia="Times New Roman"/>
          <w:i/>
        </w:rPr>
        <w:t>Metodkapitlet</w:t>
      </w:r>
    </w:p>
    <w:p w14:paraId="2E86C85A" w14:textId="77777777" w:rsidR="00B63045" w:rsidRDefault="00B63045" w:rsidP="0042398B">
      <w:pPr>
        <w:rPr>
          <w:rFonts w:eastAsia="Times New Roman"/>
        </w:rPr>
      </w:pPr>
    </w:p>
    <w:p w14:paraId="03C0E1FE" w14:textId="77777777" w:rsidR="00C05C7E" w:rsidRDefault="003356E5" w:rsidP="0042398B">
      <w:pPr>
        <w:rPr>
          <w:rFonts w:eastAsia="Times New Roman"/>
        </w:rPr>
      </w:pPr>
      <w:r>
        <w:rPr>
          <w:rFonts w:eastAsia="Times New Roman"/>
        </w:rPr>
        <w:t>I metodkapitlet beskrivs inledningsvis den behovsinventering och de förstudier som föregick beslutet att genomföra översikt</w:t>
      </w:r>
      <w:r w:rsidR="00D0771B">
        <w:rPr>
          <w:rFonts w:eastAsia="Times New Roman"/>
        </w:rPr>
        <w:t>en</w:t>
      </w:r>
      <w:r>
        <w:rPr>
          <w:rFonts w:eastAsia="Times New Roman"/>
        </w:rPr>
        <w:t xml:space="preserve">. Valet av inklusions- och exklusionskriterier motiveras i ett relativt fylligt resonemang. Av den redogörelse som ges </w:t>
      </w:r>
      <w:r w:rsidR="00C6741E">
        <w:rPr>
          <w:rFonts w:eastAsia="Times New Roman"/>
        </w:rPr>
        <w:t xml:space="preserve">av </w:t>
      </w:r>
      <w:r w:rsidR="00FC609F">
        <w:rPr>
          <w:rFonts w:eastAsia="Times New Roman"/>
        </w:rPr>
        <w:t>olika steg i litteratursökningen</w:t>
      </w:r>
      <w:r w:rsidR="00C6741E">
        <w:rPr>
          <w:rFonts w:eastAsia="Times New Roman"/>
        </w:rPr>
        <w:t xml:space="preserve"> </w:t>
      </w:r>
      <w:r>
        <w:rPr>
          <w:rFonts w:eastAsia="Times New Roman"/>
        </w:rPr>
        <w:t xml:space="preserve">framgår att </w:t>
      </w:r>
      <w:r w:rsidR="00C6741E">
        <w:rPr>
          <w:rFonts w:eastAsia="Times New Roman"/>
        </w:rPr>
        <w:t xml:space="preserve">de externa forskarnas </w:t>
      </w:r>
      <w:r w:rsidR="00C6741E" w:rsidRPr="00C6741E">
        <w:rPr>
          <w:rFonts w:eastAsia="Times New Roman"/>
        </w:rPr>
        <w:t xml:space="preserve">kunskap </w:t>
      </w:r>
      <w:r w:rsidR="00C6741E">
        <w:rPr>
          <w:rFonts w:eastAsia="Times New Roman"/>
        </w:rPr>
        <w:t xml:space="preserve">om fältet </w:t>
      </w:r>
      <w:r w:rsidR="00FC609F">
        <w:rPr>
          <w:rFonts w:eastAsia="Times New Roman"/>
        </w:rPr>
        <w:t>här har kommit väl till pass</w:t>
      </w:r>
      <w:r w:rsidR="00C6741E">
        <w:rPr>
          <w:rFonts w:eastAsia="Times New Roman"/>
        </w:rPr>
        <w:t xml:space="preserve">. </w:t>
      </w:r>
      <w:r w:rsidR="001D4150" w:rsidRPr="001D4150">
        <w:rPr>
          <w:rFonts w:eastAsia="Times New Roman"/>
        </w:rPr>
        <w:t xml:space="preserve">Forskarna </w:t>
      </w:r>
      <w:r w:rsidR="001D4150">
        <w:rPr>
          <w:rFonts w:eastAsia="Times New Roman"/>
        </w:rPr>
        <w:t xml:space="preserve">har </w:t>
      </w:r>
      <w:r w:rsidR="00500191">
        <w:rPr>
          <w:rFonts w:eastAsia="Times New Roman"/>
        </w:rPr>
        <w:t>därutöver</w:t>
      </w:r>
      <w:r w:rsidR="001D4150">
        <w:rPr>
          <w:rFonts w:eastAsia="Times New Roman"/>
        </w:rPr>
        <w:t xml:space="preserve"> stått för en stor del av arbetet med relevansbedömning av den primärlitteratur som identif</w:t>
      </w:r>
      <w:r w:rsidR="006C5F13">
        <w:rPr>
          <w:rFonts w:eastAsia="Times New Roman"/>
        </w:rPr>
        <w:t>i</w:t>
      </w:r>
      <w:r w:rsidR="001D4150">
        <w:rPr>
          <w:rFonts w:eastAsia="Times New Roman"/>
        </w:rPr>
        <w:t xml:space="preserve">erades. </w:t>
      </w:r>
      <w:r w:rsidR="00C52C33">
        <w:rPr>
          <w:rFonts w:eastAsia="Times New Roman"/>
        </w:rPr>
        <w:t xml:space="preserve">Ett särskilt bedömningsstöd har utarbetats för kvalitetsbedömningen, som </w:t>
      </w:r>
      <w:r w:rsidR="00F074A1">
        <w:rPr>
          <w:rFonts w:eastAsia="Times New Roman"/>
        </w:rPr>
        <w:t xml:space="preserve">har </w:t>
      </w:r>
      <w:r w:rsidR="00C52C33">
        <w:rPr>
          <w:rFonts w:eastAsia="Times New Roman"/>
        </w:rPr>
        <w:t xml:space="preserve">genomförts </w:t>
      </w:r>
      <w:r w:rsidR="002351F6">
        <w:rPr>
          <w:rFonts w:eastAsia="Times New Roman"/>
        </w:rPr>
        <w:t xml:space="preserve">gemensamt </w:t>
      </w:r>
      <w:r w:rsidR="00F074A1">
        <w:rPr>
          <w:rFonts w:eastAsia="Times New Roman"/>
        </w:rPr>
        <w:t xml:space="preserve">av </w:t>
      </w:r>
      <w:r w:rsidR="002351F6">
        <w:rPr>
          <w:rFonts w:eastAsia="Times New Roman"/>
        </w:rPr>
        <w:t>forskarna</w:t>
      </w:r>
      <w:r w:rsidR="00084818" w:rsidRPr="00084818">
        <w:rPr>
          <w:rFonts w:eastAsia="Times New Roman"/>
        </w:rPr>
        <w:t xml:space="preserve"> </w:t>
      </w:r>
      <w:r w:rsidR="00084818">
        <w:rPr>
          <w:rFonts w:eastAsia="Times New Roman"/>
        </w:rPr>
        <w:t>och projektledare</w:t>
      </w:r>
      <w:r w:rsidR="002351F6">
        <w:rPr>
          <w:rFonts w:eastAsia="Times New Roman"/>
        </w:rPr>
        <w:t xml:space="preserve">n. </w:t>
      </w:r>
      <w:r w:rsidR="00C52C33">
        <w:rPr>
          <w:rFonts w:eastAsia="Times New Roman"/>
        </w:rPr>
        <w:t xml:space="preserve">Bedömningsstödet, som redovisas i Bilaga 3, </w:t>
      </w:r>
      <w:r w:rsidR="00BE09CD">
        <w:rPr>
          <w:rFonts w:eastAsia="Times New Roman"/>
        </w:rPr>
        <w:t xml:space="preserve">är tämligen allmänt formulerat. Ett inledande avsnitt specificerar vilka aspekter som ska bedömas, utan att skilja mellan kvantitativa och </w:t>
      </w:r>
      <w:r w:rsidR="00BE09CD" w:rsidRPr="00BE09CD">
        <w:rPr>
          <w:rFonts w:eastAsia="Times New Roman"/>
        </w:rPr>
        <w:t>kvalitativ</w:t>
      </w:r>
      <w:r w:rsidR="00BE09CD">
        <w:rPr>
          <w:rFonts w:eastAsia="Times New Roman"/>
        </w:rPr>
        <w:t xml:space="preserve">a ansatser; de resultat som redovisas bör t ex vara </w:t>
      </w:r>
      <w:r w:rsidR="0038172D">
        <w:rPr>
          <w:rFonts w:eastAsia="Times New Roman"/>
        </w:rPr>
        <w:t>“</w:t>
      </w:r>
      <w:r w:rsidR="00BE09CD" w:rsidRPr="00BE09CD">
        <w:rPr>
          <w:rFonts w:eastAsia="Times New Roman"/>
        </w:rPr>
        <w:t>tydligt kopplade till studiens syfte och forskningsfråga</w:t>
      </w:r>
      <w:r w:rsidR="0038172D">
        <w:rPr>
          <w:rFonts w:eastAsia="Times New Roman"/>
        </w:rPr>
        <w:t xml:space="preserve">”. </w:t>
      </w:r>
      <w:r w:rsidR="00243F0F">
        <w:rPr>
          <w:rFonts w:eastAsia="Times New Roman"/>
        </w:rPr>
        <w:t xml:space="preserve">I </w:t>
      </w:r>
      <w:r w:rsidR="00500191">
        <w:rPr>
          <w:rFonts w:eastAsia="Times New Roman"/>
        </w:rPr>
        <w:t xml:space="preserve">dokumentets </w:t>
      </w:r>
      <w:r w:rsidR="00243F0F">
        <w:rPr>
          <w:rFonts w:eastAsia="Times New Roman"/>
        </w:rPr>
        <w:t>senare avsnitt ges separata, men fortfarande allmänt formulerade</w:t>
      </w:r>
      <w:r w:rsidR="000E2247">
        <w:rPr>
          <w:rFonts w:eastAsia="Times New Roman"/>
        </w:rPr>
        <w:t>,</w:t>
      </w:r>
      <w:r w:rsidR="00243F0F">
        <w:rPr>
          <w:rFonts w:eastAsia="Times New Roman"/>
        </w:rPr>
        <w:t xml:space="preserve"> kriterier för </w:t>
      </w:r>
      <w:r w:rsidR="00243F0F" w:rsidRPr="00243F0F">
        <w:rPr>
          <w:rFonts w:eastAsia="Times New Roman"/>
        </w:rPr>
        <w:t>kvantitativ</w:t>
      </w:r>
      <w:r w:rsidR="00243F0F">
        <w:rPr>
          <w:rFonts w:eastAsia="Times New Roman"/>
        </w:rPr>
        <w:t>a</w:t>
      </w:r>
      <w:r w:rsidR="00243F0F" w:rsidRPr="00243F0F">
        <w:rPr>
          <w:rFonts w:eastAsia="Times New Roman"/>
        </w:rPr>
        <w:t xml:space="preserve"> </w:t>
      </w:r>
      <w:r w:rsidR="00243F0F">
        <w:rPr>
          <w:rFonts w:eastAsia="Times New Roman"/>
        </w:rPr>
        <w:t>respektive kvalitativa</w:t>
      </w:r>
      <w:r w:rsidR="000E2247">
        <w:rPr>
          <w:rFonts w:eastAsia="Times New Roman"/>
        </w:rPr>
        <w:t xml:space="preserve"> </w:t>
      </w:r>
      <w:r w:rsidR="00F45511">
        <w:rPr>
          <w:rFonts w:eastAsia="Times New Roman"/>
        </w:rPr>
        <w:t>studier</w:t>
      </w:r>
      <w:r w:rsidR="000E2247">
        <w:rPr>
          <w:rFonts w:eastAsia="Times New Roman"/>
        </w:rPr>
        <w:t xml:space="preserve">. </w:t>
      </w:r>
      <w:r w:rsidR="00F45511">
        <w:rPr>
          <w:rFonts w:eastAsia="Times New Roman"/>
        </w:rPr>
        <w:t xml:space="preserve">Effektstudier med experiment- och kontrollgrupper nämns, men </w:t>
      </w:r>
      <w:r w:rsidR="00CE78FD">
        <w:rPr>
          <w:rFonts w:eastAsia="Times New Roman"/>
        </w:rPr>
        <w:t xml:space="preserve">denna typ av studie beskrivs inte som överlägsen andra. </w:t>
      </w:r>
      <w:r w:rsidR="008D1ADF">
        <w:rPr>
          <w:rFonts w:eastAsia="Times New Roman"/>
        </w:rPr>
        <w:t>I detta bedömningsstöd ges randomiserade kontrollerade experimen</w:t>
      </w:r>
      <w:r w:rsidR="00B00EDE">
        <w:rPr>
          <w:rFonts w:eastAsia="Times New Roman"/>
        </w:rPr>
        <w:t>t</w:t>
      </w:r>
      <w:r w:rsidR="00CE78FD">
        <w:rPr>
          <w:rFonts w:eastAsia="Times New Roman"/>
        </w:rPr>
        <w:t xml:space="preserve"> </w:t>
      </w:r>
      <w:r w:rsidR="008D1ADF">
        <w:rPr>
          <w:rFonts w:eastAsia="Times New Roman"/>
        </w:rPr>
        <w:t xml:space="preserve">med andra ord inte alls den status de åtnjuter i </w:t>
      </w:r>
      <w:r w:rsidR="00CE78FD">
        <w:rPr>
          <w:rFonts w:eastAsia="Times New Roman"/>
        </w:rPr>
        <w:t>evidensrörelsen i stort</w:t>
      </w:r>
      <w:r w:rsidR="00761502">
        <w:rPr>
          <w:rFonts w:eastAsia="Times New Roman"/>
        </w:rPr>
        <w:t>,</w:t>
      </w:r>
      <w:r w:rsidR="00CE78FD">
        <w:rPr>
          <w:rFonts w:eastAsia="Times New Roman"/>
        </w:rPr>
        <w:t xml:space="preserve"> och </w:t>
      </w:r>
      <w:r w:rsidR="00761502">
        <w:rPr>
          <w:rFonts w:eastAsia="Times New Roman"/>
        </w:rPr>
        <w:t xml:space="preserve">inom utbildningsområdet </w:t>
      </w:r>
      <w:r w:rsidR="00CE78FD">
        <w:rPr>
          <w:rFonts w:eastAsia="Times New Roman"/>
        </w:rPr>
        <w:t>bl</w:t>
      </w:r>
      <w:r w:rsidR="009210D0">
        <w:rPr>
          <w:rFonts w:eastAsia="Times New Roman"/>
        </w:rPr>
        <w:t xml:space="preserve"> a vid the What Works Clearingho</w:t>
      </w:r>
      <w:r w:rsidR="00CE78FD">
        <w:rPr>
          <w:rFonts w:eastAsia="Times New Roman"/>
        </w:rPr>
        <w:t>use i USA</w:t>
      </w:r>
      <w:r w:rsidR="00C05C7E">
        <w:rPr>
          <w:rFonts w:eastAsia="Times New Roman"/>
        </w:rPr>
        <w:t>.</w:t>
      </w:r>
    </w:p>
    <w:p w14:paraId="19AA70B8" w14:textId="77777777" w:rsidR="00C05C7E" w:rsidRDefault="00C05C7E" w:rsidP="0042398B">
      <w:pPr>
        <w:rPr>
          <w:rFonts w:eastAsia="Times New Roman"/>
        </w:rPr>
      </w:pPr>
    </w:p>
    <w:p w14:paraId="3AB2F319" w14:textId="77777777" w:rsidR="00CC6BE9" w:rsidRDefault="00CC6BE9" w:rsidP="0042398B">
      <w:pPr>
        <w:rPr>
          <w:rFonts w:eastAsia="Times New Roman"/>
        </w:rPr>
      </w:pPr>
      <w:r>
        <w:rPr>
          <w:rFonts w:eastAsia="Times New Roman"/>
        </w:rPr>
        <w:t xml:space="preserve">Samtliga studier som ingår i denna </w:t>
      </w:r>
      <w:r w:rsidRPr="00CC6BE9">
        <w:rPr>
          <w:rFonts w:eastAsia="Times New Roman"/>
        </w:rPr>
        <w:t xml:space="preserve">översikt </w:t>
      </w:r>
      <w:r>
        <w:rPr>
          <w:rFonts w:eastAsia="Times New Roman"/>
        </w:rPr>
        <w:t xml:space="preserve">är </w:t>
      </w:r>
      <w:r w:rsidR="008D1ADF">
        <w:rPr>
          <w:rFonts w:eastAsia="Times New Roman"/>
        </w:rPr>
        <w:t>kontrollerade experiment</w:t>
      </w:r>
      <w:r>
        <w:rPr>
          <w:rFonts w:eastAsia="Times New Roman"/>
        </w:rPr>
        <w:t xml:space="preserve">. </w:t>
      </w:r>
      <w:r w:rsidR="00C05C7E">
        <w:rPr>
          <w:rFonts w:eastAsia="Times New Roman"/>
        </w:rPr>
        <w:t xml:space="preserve">I metodkapitlet förklarar författarna att de </w:t>
      </w:r>
      <w:r w:rsidR="0076698B">
        <w:rPr>
          <w:rFonts w:eastAsia="Times New Roman"/>
        </w:rPr>
        <w:t xml:space="preserve">av metodologiska skäl </w:t>
      </w:r>
      <w:r w:rsidR="00C05C7E">
        <w:rPr>
          <w:rFonts w:eastAsia="Times New Roman"/>
        </w:rPr>
        <w:t xml:space="preserve">inte har velat kombinera </w:t>
      </w:r>
      <w:r w:rsidR="0076698B">
        <w:rPr>
          <w:rFonts w:eastAsia="Times New Roman"/>
        </w:rPr>
        <w:t xml:space="preserve">effektstudierna med kvalitativa undersökningar (101). Varför bedömningsstödet ändå innehåller kriterier </w:t>
      </w:r>
      <w:r w:rsidR="00C6373E">
        <w:rPr>
          <w:rFonts w:eastAsia="Times New Roman"/>
        </w:rPr>
        <w:t xml:space="preserve">även </w:t>
      </w:r>
      <w:r w:rsidR="0076698B">
        <w:rPr>
          <w:rFonts w:eastAsia="Times New Roman"/>
        </w:rPr>
        <w:t xml:space="preserve">för kvalitativa studier </w:t>
      </w:r>
      <w:r w:rsidR="00C6373E">
        <w:rPr>
          <w:rFonts w:eastAsia="Times New Roman"/>
        </w:rPr>
        <w:t xml:space="preserve">framgår </w:t>
      </w:r>
      <w:r w:rsidR="0076698B">
        <w:rPr>
          <w:rFonts w:eastAsia="Times New Roman"/>
        </w:rPr>
        <w:t>inte</w:t>
      </w:r>
      <w:r w:rsidR="00D37550">
        <w:rPr>
          <w:rFonts w:eastAsia="Times New Roman"/>
        </w:rPr>
        <w:t xml:space="preserve">, men man kan anta att avsikten varit att formulera kriterier som även kan tillämpas i institutets kommande </w:t>
      </w:r>
      <w:r w:rsidR="00D37550" w:rsidRPr="00D37550">
        <w:rPr>
          <w:rFonts w:eastAsia="Times New Roman"/>
        </w:rPr>
        <w:t>översik</w:t>
      </w:r>
      <w:r w:rsidR="00D37550">
        <w:rPr>
          <w:rFonts w:eastAsia="Times New Roman"/>
        </w:rPr>
        <w:t>ter</w:t>
      </w:r>
      <w:r w:rsidR="0076698B">
        <w:rPr>
          <w:rFonts w:eastAsia="Times New Roman"/>
        </w:rPr>
        <w:t xml:space="preserve">. </w:t>
      </w:r>
      <w:r>
        <w:rPr>
          <w:rFonts w:eastAsia="Times New Roman"/>
        </w:rPr>
        <w:t xml:space="preserve">I </w:t>
      </w:r>
      <w:r>
        <w:rPr>
          <w:rFonts w:eastAsia="Times New Roman"/>
        </w:rPr>
        <w:lastRenderedPageBreak/>
        <w:t xml:space="preserve">metodkapitlet beskrivs </w:t>
      </w:r>
      <w:r w:rsidR="0076698B">
        <w:rPr>
          <w:rFonts w:eastAsia="Times New Roman"/>
        </w:rPr>
        <w:t xml:space="preserve">vidare </w:t>
      </w:r>
      <w:r>
        <w:rPr>
          <w:rFonts w:eastAsia="Times New Roman"/>
        </w:rPr>
        <w:t xml:space="preserve">fördelarna med randomisering, men även grupprandomiserade och kvasi-experimentella studier har inkluderats, </w:t>
      </w:r>
      <w:r w:rsidR="00C6373E">
        <w:rPr>
          <w:rFonts w:eastAsia="Times New Roman"/>
        </w:rPr>
        <w:t>och</w:t>
      </w:r>
      <w:r>
        <w:rPr>
          <w:rFonts w:eastAsia="Times New Roman"/>
        </w:rPr>
        <w:t xml:space="preserve"> författarna säger sig ha</w:t>
      </w:r>
    </w:p>
    <w:p w14:paraId="7E24DF05" w14:textId="77777777" w:rsidR="00CC6BE9" w:rsidRDefault="00CC6BE9" w:rsidP="0042398B">
      <w:pPr>
        <w:rPr>
          <w:rFonts w:eastAsia="Times New Roman"/>
        </w:rPr>
      </w:pPr>
    </w:p>
    <w:p w14:paraId="678CB3F5" w14:textId="77777777" w:rsidR="00CC6BE9" w:rsidRDefault="00CC6BE9" w:rsidP="00CC6BE9">
      <w:pPr>
        <w:pStyle w:val="Cit"/>
      </w:pPr>
      <w:r w:rsidRPr="00CC6BE9">
        <w:t>stor respekt för att det</w:t>
      </w:r>
      <w:r>
        <w:t xml:space="preserve"> </w:t>
      </w:r>
      <w:r w:rsidRPr="00CC6BE9">
        <w:t>kan vara svårt att genomföra studier</w:t>
      </w:r>
      <w:r>
        <w:t xml:space="preserve"> där barn eller elever fördelas </w:t>
      </w:r>
      <w:r w:rsidRPr="00CC6BE9">
        <w:t>slumpmässigt till</w:t>
      </w:r>
      <w:r>
        <w:t xml:space="preserve"> </w:t>
      </w:r>
      <w:r w:rsidRPr="00CC6BE9">
        <w:t>olika grupper.</w:t>
      </w:r>
      <w:r>
        <w:t xml:space="preserve"> (96)</w:t>
      </w:r>
    </w:p>
    <w:p w14:paraId="1BE0A2A3" w14:textId="77777777" w:rsidR="008D1ADF" w:rsidRDefault="008D1ADF" w:rsidP="0042398B">
      <w:pPr>
        <w:rPr>
          <w:rFonts w:eastAsia="Times New Roman"/>
        </w:rPr>
      </w:pPr>
    </w:p>
    <w:p w14:paraId="13CBF885" w14:textId="77777777" w:rsidR="008D1ADF" w:rsidRDefault="00547DB4" w:rsidP="0042398B">
      <w:pPr>
        <w:rPr>
          <w:rFonts w:eastAsia="Times New Roman"/>
        </w:rPr>
      </w:pPr>
      <w:r>
        <w:rPr>
          <w:rFonts w:eastAsia="Times New Roman"/>
        </w:rPr>
        <w:t>Däremot, heter det, har endast studier med “rimligt likartade” villkor för experiment- och kontrollgrupperna accepterats (97).</w:t>
      </w:r>
    </w:p>
    <w:p w14:paraId="1309CDBA" w14:textId="77777777" w:rsidR="00F26987" w:rsidRDefault="00F26987" w:rsidP="0042398B">
      <w:pPr>
        <w:rPr>
          <w:rFonts w:eastAsia="Times New Roman"/>
        </w:rPr>
      </w:pPr>
    </w:p>
    <w:p w14:paraId="7A261004" w14:textId="77777777" w:rsidR="00547DB4" w:rsidRDefault="0047530B" w:rsidP="0042398B">
      <w:pPr>
        <w:rPr>
          <w:rFonts w:eastAsia="Times New Roman"/>
        </w:rPr>
      </w:pPr>
      <w:r>
        <w:rPr>
          <w:rFonts w:eastAsia="Times New Roman"/>
        </w:rPr>
        <w:t>Vad gäller rutiner</w:t>
      </w:r>
      <w:r w:rsidR="00366629">
        <w:rPr>
          <w:rFonts w:eastAsia="Times New Roman"/>
        </w:rPr>
        <w:t xml:space="preserve"> för </w:t>
      </w:r>
      <w:r w:rsidR="00231762">
        <w:rPr>
          <w:rFonts w:eastAsia="Times New Roman"/>
        </w:rPr>
        <w:t xml:space="preserve">resultatextraktion ger metodkapitlet mycket knapphändiga upplysningar. Att uppgifter </w:t>
      </w:r>
      <w:r w:rsidR="005454EC">
        <w:rPr>
          <w:rFonts w:eastAsia="Times New Roman"/>
        </w:rPr>
        <w:t xml:space="preserve">har sammanställts </w:t>
      </w:r>
      <w:r w:rsidR="00231762">
        <w:rPr>
          <w:rFonts w:eastAsia="Times New Roman"/>
        </w:rPr>
        <w:t>om de metoder som tillämpats</w:t>
      </w:r>
      <w:r>
        <w:rPr>
          <w:rFonts w:eastAsia="Times New Roman"/>
        </w:rPr>
        <w:t xml:space="preserve"> i studierna</w:t>
      </w:r>
      <w:r w:rsidR="00231762">
        <w:rPr>
          <w:rFonts w:eastAsia="Times New Roman"/>
        </w:rPr>
        <w:t>, de effekter som rappo</w:t>
      </w:r>
      <w:r w:rsidR="005454EC">
        <w:rPr>
          <w:rFonts w:eastAsia="Times New Roman"/>
        </w:rPr>
        <w:t>r</w:t>
      </w:r>
      <w:r w:rsidR="00231762">
        <w:rPr>
          <w:rFonts w:eastAsia="Times New Roman"/>
        </w:rPr>
        <w:t xml:space="preserve">terats, antalet deltagare </w:t>
      </w:r>
      <w:r w:rsidR="005454EC">
        <w:rPr>
          <w:rFonts w:eastAsia="Times New Roman"/>
        </w:rPr>
        <w:t xml:space="preserve">som ingått, </w:t>
      </w:r>
      <w:r w:rsidR="00231762">
        <w:rPr>
          <w:rFonts w:eastAsia="Times New Roman"/>
        </w:rPr>
        <w:t>etc</w:t>
      </w:r>
      <w:r w:rsidR="005454EC">
        <w:rPr>
          <w:rFonts w:eastAsia="Times New Roman"/>
        </w:rPr>
        <w:t>,</w:t>
      </w:r>
      <w:r w:rsidR="00231762">
        <w:rPr>
          <w:rFonts w:eastAsia="Times New Roman"/>
        </w:rPr>
        <w:t xml:space="preserve"> är allt som redovisas (97). Motsvarande avsnitt av det metodkapitel som ingår i</w:t>
      </w:r>
      <w:r w:rsidR="000433B1">
        <w:rPr>
          <w:rFonts w:eastAsia="Times New Roman"/>
        </w:rPr>
        <w:t xml:space="preserve"> översikten om klassrumsdialog</w:t>
      </w:r>
      <w:r w:rsidR="00231762">
        <w:rPr>
          <w:rFonts w:eastAsia="Times New Roman"/>
        </w:rPr>
        <w:t xml:space="preserve"> är</w:t>
      </w:r>
      <w:r w:rsidR="007B258F">
        <w:rPr>
          <w:rFonts w:eastAsia="Times New Roman"/>
        </w:rPr>
        <w:t xml:space="preserve"> lika kort, men ger värdefull </w:t>
      </w:r>
      <w:r w:rsidR="007B258F" w:rsidRPr="007B258F">
        <w:rPr>
          <w:rFonts w:eastAsia="Times New Roman"/>
        </w:rPr>
        <w:t>information</w:t>
      </w:r>
      <w:r w:rsidR="007B258F">
        <w:rPr>
          <w:rFonts w:eastAsia="Times New Roman"/>
        </w:rPr>
        <w:t xml:space="preserve">. I arbetet med den översikten, får vi veta, </w:t>
      </w:r>
      <w:r w:rsidR="008B64A1">
        <w:rPr>
          <w:rFonts w:eastAsia="Times New Roman"/>
        </w:rPr>
        <w:t xml:space="preserve">stod </w:t>
      </w:r>
      <w:r w:rsidR="007B258F">
        <w:rPr>
          <w:rFonts w:eastAsia="Times New Roman"/>
        </w:rPr>
        <w:t xml:space="preserve">de externa </w:t>
      </w:r>
      <w:r w:rsidR="007B258F" w:rsidRPr="007B258F">
        <w:rPr>
          <w:rFonts w:eastAsia="Times New Roman"/>
        </w:rPr>
        <w:t xml:space="preserve">forskarna </w:t>
      </w:r>
      <w:r w:rsidR="007B258F">
        <w:rPr>
          <w:rFonts w:eastAsia="Times New Roman"/>
        </w:rPr>
        <w:t xml:space="preserve">först </w:t>
      </w:r>
      <w:r w:rsidR="008B64A1">
        <w:rPr>
          <w:rFonts w:eastAsia="Times New Roman"/>
        </w:rPr>
        <w:t xml:space="preserve">för sammanfattningar av </w:t>
      </w:r>
      <w:r w:rsidR="00F157F4">
        <w:rPr>
          <w:rFonts w:eastAsia="Times New Roman"/>
        </w:rPr>
        <w:t>de enskilda studiernas resultat</w:t>
      </w:r>
      <w:r>
        <w:rPr>
          <w:rFonts w:eastAsia="Times New Roman"/>
        </w:rPr>
        <w:t>,</w:t>
      </w:r>
      <w:r w:rsidR="007B258F">
        <w:rPr>
          <w:rFonts w:eastAsia="Times New Roman"/>
        </w:rPr>
        <w:t xml:space="preserve"> och föreslog därefter “</w:t>
      </w:r>
      <w:r w:rsidR="007B258F" w:rsidRPr="007B258F">
        <w:rPr>
          <w:rFonts w:eastAsia="Times New Roman"/>
        </w:rPr>
        <w:t>en struktur för sammanställning av resultaten</w:t>
      </w:r>
      <w:r w:rsidR="007B258F">
        <w:rPr>
          <w:rFonts w:eastAsia="Times New Roman"/>
        </w:rPr>
        <w:t xml:space="preserve">” (översikten om klassrumsdialog, 55). </w:t>
      </w:r>
      <w:r w:rsidR="00783FF7">
        <w:rPr>
          <w:rFonts w:eastAsia="Times New Roman"/>
        </w:rPr>
        <w:t xml:space="preserve">Hur </w:t>
      </w:r>
      <w:r w:rsidR="000433B1">
        <w:rPr>
          <w:rFonts w:eastAsia="Times New Roman"/>
        </w:rPr>
        <w:t xml:space="preserve">arbetet med resultatextraktion fördelats i översikten om digitala lärresurser kan man som läsare </w:t>
      </w:r>
      <w:r>
        <w:rPr>
          <w:rFonts w:eastAsia="Times New Roman"/>
        </w:rPr>
        <w:t>inte veta</w:t>
      </w:r>
      <w:r w:rsidR="000433B1">
        <w:rPr>
          <w:rFonts w:eastAsia="Times New Roman"/>
        </w:rPr>
        <w:t xml:space="preserve">, men </w:t>
      </w:r>
      <w:r w:rsidR="00A518F4">
        <w:rPr>
          <w:rFonts w:eastAsia="Times New Roman"/>
        </w:rPr>
        <w:t xml:space="preserve">oavsett vem som gjort vad finns det skäl att förmoda att </w:t>
      </w:r>
      <w:r w:rsidR="00C968A7">
        <w:rPr>
          <w:rFonts w:eastAsia="Times New Roman"/>
        </w:rPr>
        <w:t>förfarandet liknat det</w:t>
      </w:r>
      <w:r w:rsidR="00A518F4">
        <w:rPr>
          <w:rFonts w:eastAsia="Times New Roman"/>
        </w:rPr>
        <w:t xml:space="preserve"> </w:t>
      </w:r>
      <w:r w:rsidR="00C968A7">
        <w:rPr>
          <w:rFonts w:eastAsia="Times New Roman"/>
        </w:rPr>
        <w:t xml:space="preserve">som </w:t>
      </w:r>
      <w:r w:rsidR="00A518F4">
        <w:rPr>
          <w:rFonts w:eastAsia="Times New Roman"/>
        </w:rPr>
        <w:t xml:space="preserve">följts i översikten om klassrumsdialog, om än med tabellering av </w:t>
      </w:r>
      <w:r w:rsidR="00A518F4" w:rsidRPr="00A518F4">
        <w:rPr>
          <w:rFonts w:eastAsia="Times New Roman"/>
        </w:rPr>
        <w:t xml:space="preserve">data </w:t>
      </w:r>
      <w:r w:rsidR="00A518F4">
        <w:rPr>
          <w:rFonts w:eastAsia="Times New Roman"/>
        </w:rPr>
        <w:t>som viktigt kom</w:t>
      </w:r>
      <w:r w:rsidR="00B00EDE">
        <w:rPr>
          <w:rFonts w:eastAsia="Times New Roman"/>
        </w:rPr>
        <w:t>p</w:t>
      </w:r>
      <w:r w:rsidR="00A518F4">
        <w:rPr>
          <w:rFonts w:eastAsia="Times New Roman"/>
        </w:rPr>
        <w:t xml:space="preserve">lement. </w:t>
      </w:r>
      <w:r w:rsidR="00783FF7">
        <w:rPr>
          <w:rFonts w:eastAsia="Times New Roman"/>
        </w:rPr>
        <w:t xml:space="preserve">Här skulle en del av förklaringen </w:t>
      </w:r>
      <w:r w:rsidR="00CC07C2">
        <w:rPr>
          <w:rFonts w:eastAsia="Times New Roman"/>
        </w:rPr>
        <w:t xml:space="preserve">kunna ligga </w:t>
      </w:r>
      <w:r w:rsidR="00783FF7">
        <w:rPr>
          <w:rFonts w:eastAsia="Times New Roman"/>
        </w:rPr>
        <w:t xml:space="preserve">till resultatredovisningens tre nivåer, presenterade i en ordningsföljd omvänd </w:t>
      </w:r>
      <w:r w:rsidR="004F67F0">
        <w:rPr>
          <w:rFonts w:eastAsia="Times New Roman"/>
        </w:rPr>
        <w:t>arbetsprocessens.</w:t>
      </w:r>
    </w:p>
    <w:p w14:paraId="2141532E" w14:textId="77777777" w:rsidR="004F67F0" w:rsidRDefault="004F67F0" w:rsidP="0042398B">
      <w:pPr>
        <w:rPr>
          <w:rFonts w:eastAsia="Times New Roman"/>
        </w:rPr>
      </w:pPr>
    </w:p>
    <w:p w14:paraId="6220CA93" w14:textId="77777777" w:rsidR="004F67F0" w:rsidRDefault="001846AB" w:rsidP="0042398B">
      <w:pPr>
        <w:rPr>
          <w:rFonts w:eastAsia="Times New Roman"/>
        </w:rPr>
      </w:pPr>
      <w:r>
        <w:rPr>
          <w:rFonts w:eastAsia="Times New Roman"/>
        </w:rPr>
        <w:t xml:space="preserve">Att arbetet gör anspråk på att vara en </w:t>
      </w:r>
      <w:r w:rsidRPr="00C40171">
        <w:rPr>
          <w:rFonts w:eastAsia="Times New Roman"/>
        </w:rPr>
        <w:t xml:space="preserve">systematisk </w:t>
      </w:r>
      <w:r>
        <w:rPr>
          <w:rFonts w:eastAsia="Times New Roman"/>
        </w:rPr>
        <w:t xml:space="preserve">översikt uttrycks klart redan på respektive delrapports titelsida. </w:t>
      </w:r>
      <w:r w:rsidRPr="00467C2F">
        <w:rPr>
          <w:rFonts w:eastAsia="Times New Roman"/>
        </w:rPr>
        <w:t xml:space="preserve">Systematisk </w:t>
      </w:r>
      <w:r>
        <w:rPr>
          <w:rFonts w:eastAsia="Times New Roman"/>
        </w:rPr>
        <w:t>översikt är dock en mycket bred kategori, inom vilken en mångfald metoder idag inordnas</w:t>
      </w:r>
      <w:r w:rsidR="0015042C">
        <w:rPr>
          <w:rFonts w:eastAsia="Times New Roman"/>
        </w:rPr>
        <w:t xml:space="preserve">. </w:t>
      </w:r>
      <w:r w:rsidR="00014298">
        <w:rPr>
          <w:rFonts w:eastAsia="Times New Roman"/>
        </w:rPr>
        <w:t xml:space="preserve">Ingenstans i </w:t>
      </w:r>
      <w:r w:rsidR="00014298" w:rsidRPr="00C40171">
        <w:rPr>
          <w:rFonts w:eastAsia="Times New Roman"/>
        </w:rPr>
        <w:t>översikt</w:t>
      </w:r>
      <w:r w:rsidR="00014298">
        <w:rPr>
          <w:rFonts w:eastAsia="Times New Roman"/>
        </w:rPr>
        <w:t>en om digitala lärresurser</w:t>
      </w:r>
      <w:r w:rsidR="00014298" w:rsidRPr="00C40171">
        <w:rPr>
          <w:rFonts w:eastAsia="Times New Roman"/>
        </w:rPr>
        <w:t xml:space="preserve"> </w:t>
      </w:r>
      <w:r w:rsidR="00014298">
        <w:rPr>
          <w:rFonts w:eastAsia="Times New Roman"/>
        </w:rPr>
        <w:t xml:space="preserve">sägs det explicit att någon specifik, erkänd metod har tillämpats, men i metodkapitlet ges många hänvisningar till metaanalys och till litteratur om denna metod. </w:t>
      </w:r>
      <w:r w:rsidR="006610FF">
        <w:rPr>
          <w:rFonts w:eastAsia="Times New Roman"/>
        </w:rPr>
        <w:t xml:space="preserve">Att författarna betraktar sin </w:t>
      </w:r>
      <w:r w:rsidR="006610FF" w:rsidRPr="004E5A5A">
        <w:rPr>
          <w:rFonts w:eastAsia="Times New Roman"/>
        </w:rPr>
        <w:t xml:space="preserve">översikt </w:t>
      </w:r>
      <w:r w:rsidR="006610FF">
        <w:rPr>
          <w:rFonts w:eastAsia="Times New Roman"/>
        </w:rPr>
        <w:t xml:space="preserve">som en metaanalys framgår alltså tydligt, om än indirekt. </w:t>
      </w:r>
      <w:r w:rsidR="00195464">
        <w:rPr>
          <w:rFonts w:eastAsia="Times New Roman"/>
        </w:rPr>
        <w:t xml:space="preserve">Någon ordinär eller typisk </w:t>
      </w:r>
      <w:r w:rsidR="00195464" w:rsidRPr="00195464">
        <w:rPr>
          <w:rFonts w:eastAsia="Times New Roman"/>
        </w:rPr>
        <w:t xml:space="preserve">metaanalys </w:t>
      </w:r>
      <w:r w:rsidR="00195464">
        <w:rPr>
          <w:rFonts w:eastAsia="Times New Roman"/>
        </w:rPr>
        <w:t>är den emellertid inte.</w:t>
      </w:r>
      <w:r w:rsidR="002F62CE">
        <w:rPr>
          <w:rFonts w:eastAsia="Times New Roman"/>
        </w:rPr>
        <w:t xml:space="preserve"> </w:t>
      </w:r>
      <w:r w:rsidR="00195464">
        <w:rPr>
          <w:rFonts w:eastAsia="Times New Roman"/>
        </w:rPr>
        <w:t xml:space="preserve">I diskussionen ovan har jag pekat på tre drag som </w:t>
      </w:r>
      <w:r w:rsidR="00034D20">
        <w:rPr>
          <w:rFonts w:eastAsia="Times New Roman"/>
        </w:rPr>
        <w:t>är ovanliga i metaanalyser: spåren av en induktiv logik, den uppmärksamhet som ägnas brister i studiernas genomförande, och skogsdiagrammen utan sammanvägda effektstorlekar.</w:t>
      </w:r>
    </w:p>
    <w:p w14:paraId="1F085274" w14:textId="77777777" w:rsidR="00034D20" w:rsidRDefault="00034D20" w:rsidP="0042398B">
      <w:pPr>
        <w:rPr>
          <w:rFonts w:eastAsia="Times New Roman"/>
        </w:rPr>
      </w:pPr>
    </w:p>
    <w:p w14:paraId="1D4FF8F2" w14:textId="77777777" w:rsidR="00034D20" w:rsidRDefault="00045297" w:rsidP="0042398B">
      <w:pPr>
        <w:rPr>
          <w:rFonts w:eastAsia="Times New Roman"/>
        </w:rPr>
      </w:pPr>
      <w:r>
        <w:rPr>
          <w:rFonts w:eastAsia="Times New Roman"/>
        </w:rPr>
        <w:t xml:space="preserve">En </w:t>
      </w:r>
      <w:r w:rsidR="00EE764C">
        <w:rPr>
          <w:rFonts w:eastAsia="Times New Roman"/>
        </w:rPr>
        <w:t>passage</w:t>
      </w:r>
      <w:r>
        <w:rPr>
          <w:rFonts w:eastAsia="Times New Roman"/>
        </w:rPr>
        <w:t xml:space="preserve"> i metodkapitlet ger en fin ingång till projektgruppens sätt att förstå de två sistnämnda dragen:</w:t>
      </w:r>
    </w:p>
    <w:p w14:paraId="200E165C" w14:textId="77777777" w:rsidR="00045297" w:rsidRDefault="00045297" w:rsidP="0042398B">
      <w:pPr>
        <w:rPr>
          <w:rFonts w:eastAsia="Times New Roman"/>
        </w:rPr>
      </w:pPr>
    </w:p>
    <w:p w14:paraId="577C94F9" w14:textId="77777777" w:rsidR="00045297" w:rsidRDefault="00EE764C" w:rsidP="004B4CBA">
      <w:pPr>
        <w:pStyle w:val="Cit"/>
      </w:pPr>
      <w:r w:rsidRPr="00EE764C">
        <w:t>En metaanalys har inte som enda syfte att ta fram en sammanvägd effektstorlek för de</w:t>
      </w:r>
      <w:r w:rsidR="004B4CBA">
        <w:t xml:space="preserve"> </w:t>
      </w:r>
      <w:r w:rsidRPr="00EE764C">
        <w:t>studier som ingår. Den är även ett verktyg för att analysera och presentera studiernas</w:t>
      </w:r>
      <w:r w:rsidR="004B4CBA">
        <w:t xml:space="preserve"> </w:t>
      </w:r>
      <w:r w:rsidRPr="00EE764C">
        <w:t>resultat. Pekar alla studier åt samma håll? Är det stor variation mel</w:t>
      </w:r>
      <w:r w:rsidR="004B4CBA">
        <w:t xml:space="preserve">lan </w:t>
      </w:r>
      <w:r w:rsidRPr="00EE764C">
        <w:t>studierna? Finns</w:t>
      </w:r>
      <w:r w:rsidR="004B4CBA">
        <w:t xml:space="preserve"> </w:t>
      </w:r>
      <w:r w:rsidRPr="00EE764C">
        <w:t xml:space="preserve">studier som tydligt sticker ut? Finns skäl att </w:t>
      </w:r>
      <w:r w:rsidR="004B4CBA">
        <w:t xml:space="preserve">försöka finna förklaringar till </w:t>
      </w:r>
      <w:r w:rsidRPr="00EE764C">
        <w:t>skillnader i</w:t>
      </w:r>
      <w:r w:rsidR="004B4CBA">
        <w:t xml:space="preserve"> </w:t>
      </w:r>
      <w:r w:rsidRPr="00EE764C">
        <w:t>resultat mellan olika studier? Me</w:t>
      </w:r>
      <w:r w:rsidR="004B4CBA">
        <w:t xml:space="preserve">taanalysen, i synnerhet när den </w:t>
      </w:r>
      <w:r w:rsidRPr="00EE764C">
        <w:t>kombineras med ett</w:t>
      </w:r>
      <w:r w:rsidR="004B4CBA">
        <w:t xml:space="preserve"> </w:t>
      </w:r>
      <w:r w:rsidRPr="00EE764C">
        <w:t>illustrativt diagram, kan därmed också ses som ett analytis</w:t>
      </w:r>
      <w:r w:rsidR="004B4CBA">
        <w:t xml:space="preserve">kt och </w:t>
      </w:r>
      <w:r w:rsidRPr="00EE764C">
        <w:t>pedagogiskt instrument</w:t>
      </w:r>
      <w:r w:rsidR="004B4CBA">
        <w:t>. (100)</w:t>
      </w:r>
    </w:p>
    <w:p w14:paraId="616BEE38" w14:textId="77777777" w:rsidR="00547DB4" w:rsidRDefault="00547DB4" w:rsidP="0042398B">
      <w:pPr>
        <w:rPr>
          <w:rFonts w:eastAsia="Times New Roman"/>
        </w:rPr>
      </w:pPr>
    </w:p>
    <w:p w14:paraId="049ECB6A" w14:textId="5E723134" w:rsidR="007704FE" w:rsidRDefault="007D7F27" w:rsidP="0042398B">
      <w:pPr>
        <w:rPr>
          <w:rFonts w:eastAsia="Times New Roman"/>
        </w:rPr>
      </w:pPr>
      <w:r>
        <w:rPr>
          <w:rFonts w:eastAsia="Times New Roman"/>
        </w:rPr>
        <w:t xml:space="preserve">Huruvida en </w:t>
      </w:r>
      <w:r w:rsidRPr="007D7F27">
        <w:rPr>
          <w:rFonts w:eastAsia="Times New Roman"/>
        </w:rPr>
        <w:t>s</w:t>
      </w:r>
      <w:r>
        <w:rPr>
          <w:rFonts w:eastAsia="Times New Roman"/>
        </w:rPr>
        <w:t>ystematisk</w:t>
      </w:r>
      <w:r w:rsidRPr="007D7F27">
        <w:rPr>
          <w:rFonts w:eastAsia="Times New Roman"/>
        </w:rPr>
        <w:t xml:space="preserve"> </w:t>
      </w:r>
      <w:r>
        <w:rPr>
          <w:rFonts w:eastAsia="Times New Roman"/>
        </w:rPr>
        <w:t>översikt</w:t>
      </w:r>
      <w:r w:rsidRPr="007D7F27">
        <w:rPr>
          <w:rFonts w:eastAsia="Times New Roman"/>
        </w:rPr>
        <w:t xml:space="preserve"> </w:t>
      </w:r>
      <w:r>
        <w:rPr>
          <w:rFonts w:eastAsia="Times New Roman"/>
        </w:rPr>
        <w:t xml:space="preserve">av kvantitativa studier bör eller inte bör inkludera metaanalyser avhänger alltid en bedömning av materialets heterogenitet. </w:t>
      </w:r>
      <w:r w:rsidR="001318BA">
        <w:rPr>
          <w:rFonts w:eastAsia="Times New Roman"/>
        </w:rPr>
        <w:t xml:space="preserve">Överskrider </w:t>
      </w:r>
      <w:r>
        <w:rPr>
          <w:rFonts w:eastAsia="Times New Roman"/>
        </w:rPr>
        <w:t xml:space="preserve">heterogeniteten en viss gräns är det inte meningsfullt att ge en statistisk sammanställning av effektstorlekar, men </w:t>
      </w:r>
      <w:r w:rsidR="0030748C">
        <w:rPr>
          <w:rFonts w:eastAsia="Times New Roman"/>
        </w:rPr>
        <w:t xml:space="preserve">inga enkla </w:t>
      </w:r>
      <w:r w:rsidR="001318BA">
        <w:rPr>
          <w:rFonts w:eastAsia="Times New Roman"/>
        </w:rPr>
        <w:t xml:space="preserve">regler existerar för att avgöra </w:t>
      </w:r>
      <w:r w:rsidR="0030748C">
        <w:rPr>
          <w:rFonts w:eastAsia="Times New Roman"/>
        </w:rPr>
        <w:t xml:space="preserve">var denna gräns bör dras. Projektgruppen bakom översikten om digitala lärresurser </w:t>
      </w:r>
      <w:r w:rsidR="007704FE">
        <w:rPr>
          <w:rFonts w:eastAsia="Times New Roman"/>
        </w:rPr>
        <w:t>har avstått från att ge sammanvägda effektstorlekar, då detta skulle kunna ge sken av att underlaget är mer homogent, och resultaten säkrare, än vad som är fallet (</w:t>
      </w:r>
      <w:r w:rsidR="00C618C9">
        <w:rPr>
          <w:rFonts w:eastAsia="Times New Roman"/>
        </w:rPr>
        <w:t>loc. cit.</w:t>
      </w:r>
      <w:r w:rsidR="007704FE">
        <w:rPr>
          <w:rFonts w:eastAsia="Times New Roman"/>
        </w:rPr>
        <w:t xml:space="preserve">). </w:t>
      </w:r>
      <w:r w:rsidR="00BA7D1C">
        <w:rPr>
          <w:rFonts w:eastAsia="Times New Roman"/>
        </w:rPr>
        <w:t xml:space="preserve">Skälet till att de ändå redovisar studiernas individuella effektstorlekar i diagramform är, som anges i </w:t>
      </w:r>
      <w:r w:rsidR="001318BA">
        <w:rPr>
          <w:rFonts w:eastAsia="Times New Roman"/>
        </w:rPr>
        <w:t xml:space="preserve">citatet </w:t>
      </w:r>
      <w:r w:rsidR="00BA7D1C">
        <w:rPr>
          <w:rFonts w:eastAsia="Times New Roman"/>
        </w:rPr>
        <w:t xml:space="preserve">ovan, att diagrammen kan utgöra analytiska och pedagogiska redskap. </w:t>
      </w:r>
      <w:r w:rsidR="004B1522">
        <w:rPr>
          <w:rFonts w:eastAsia="Times New Roman"/>
        </w:rPr>
        <w:t xml:space="preserve">Om en </w:t>
      </w:r>
      <w:r w:rsidR="0097074C">
        <w:rPr>
          <w:rFonts w:eastAsia="Times New Roman"/>
        </w:rPr>
        <w:t xml:space="preserve">extremt hög effekt redovisas </w:t>
      </w:r>
      <w:r w:rsidR="004B1522">
        <w:rPr>
          <w:rFonts w:eastAsia="Times New Roman"/>
        </w:rPr>
        <w:t xml:space="preserve">är det en tydlig signal om att </w:t>
      </w:r>
      <w:r w:rsidR="00B00EDE">
        <w:rPr>
          <w:rFonts w:eastAsia="Times New Roman"/>
        </w:rPr>
        <w:t xml:space="preserve">studien </w:t>
      </w:r>
      <w:r w:rsidR="004B1522">
        <w:rPr>
          <w:rFonts w:eastAsia="Times New Roman"/>
        </w:rPr>
        <w:t xml:space="preserve">inte </w:t>
      </w:r>
      <w:r w:rsidR="001318BA">
        <w:rPr>
          <w:rFonts w:eastAsia="Times New Roman"/>
        </w:rPr>
        <w:t xml:space="preserve">har </w:t>
      </w:r>
      <w:r w:rsidR="004B1522">
        <w:rPr>
          <w:rFonts w:eastAsia="Times New Roman"/>
        </w:rPr>
        <w:t>genomförts korrekt. Som jag har påpekat ovan ges resonemang avsedda att belysa sådana studiers egenskaper stort utrymme i denna översikt.</w:t>
      </w:r>
    </w:p>
    <w:p w14:paraId="5AEE58A7" w14:textId="77777777" w:rsidR="004B1522" w:rsidRDefault="004B1522" w:rsidP="0042398B">
      <w:pPr>
        <w:rPr>
          <w:rFonts w:eastAsia="Times New Roman"/>
        </w:rPr>
      </w:pPr>
    </w:p>
    <w:p w14:paraId="04CBF2E3" w14:textId="77777777" w:rsidR="004B1522" w:rsidRDefault="004B1522" w:rsidP="0042398B">
      <w:pPr>
        <w:rPr>
          <w:rFonts w:eastAsia="Times New Roman"/>
        </w:rPr>
      </w:pPr>
      <w:r>
        <w:rPr>
          <w:rFonts w:eastAsia="Times New Roman"/>
        </w:rPr>
        <w:t xml:space="preserve">I översikten kallas resonemang av detta slag </w:t>
      </w:r>
      <w:r w:rsidR="002B0785">
        <w:rPr>
          <w:rFonts w:eastAsia="Times New Roman"/>
        </w:rPr>
        <w:t>orsaksanalyser</w:t>
      </w:r>
      <w:r>
        <w:rPr>
          <w:rFonts w:eastAsia="Times New Roman"/>
        </w:rPr>
        <w:t xml:space="preserve">. </w:t>
      </w:r>
      <w:r w:rsidR="009F295A">
        <w:rPr>
          <w:rFonts w:eastAsia="Times New Roman"/>
        </w:rPr>
        <w:t>P</w:t>
      </w:r>
      <w:r w:rsidR="00A35045">
        <w:rPr>
          <w:rFonts w:eastAsia="Times New Roman"/>
        </w:rPr>
        <w:t>å metodkapitlets sista sidor (101-102</w:t>
      </w:r>
      <w:r w:rsidR="009F295A">
        <w:rPr>
          <w:rFonts w:eastAsia="Times New Roman"/>
        </w:rPr>
        <w:t>)</w:t>
      </w:r>
      <w:r w:rsidR="00A35045">
        <w:rPr>
          <w:rFonts w:eastAsia="Times New Roman"/>
        </w:rPr>
        <w:t xml:space="preserve"> identifieras tre olika faktorer som kan förklara missvisande studieresultat, och två steg i de orsaksanalyser författarna </w:t>
      </w:r>
      <w:r w:rsidR="004F2A27">
        <w:rPr>
          <w:rFonts w:eastAsia="Times New Roman"/>
        </w:rPr>
        <w:t>har utfört</w:t>
      </w:r>
      <w:r w:rsidR="00A35045">
        <w:rPr>
          <w:rFonts w:eastAsia="Times New Roman"/>
        </w:rPr>
        <w:t xml:space="preserve"> bskrivs. </w:t>
      </w:r>
      <w:r w:rsidR="00C618C9">
        <w:rPr>
          <w:rFonts w:eastAsia="Times New Roman"/>
        </w:rPr>
        <w:t xml:space="preserve">Analysernas första steg har genomförts “på ett iteratvt sätt”, får vi veta, dvs på ett sätt som brukar anses typiskt för </w:t>
      </w:r>
      <w:r w:rsidR="00C618C9" w:rsidRPr="00C618C9">
        <w:rPr>
          <w:rFonts w:eastAsia="Times New Roman"/>
        </w:rPr>
        <w:t xml:space="preserve">kvalitativ </w:t>
      </w:r>
      <w:r w:rsidR="00C618C9">
        <w:rPr>
          <w:rFonts w:eastAsia="Times New Roman"/>
        </w:rPr>
        <w:t xml:space="preserve">syntes. </w:t>
      </w:r>
      <w:r w:rsidR="00A35045">
        <w:rPr>
          <w:rFonts w:eastAsia="Times New Roman"/>
        </w:rPr>
        <w:t xml:space="preserve">I likhet med </w:t>
      </w:r>
      <w:r w:rsidR="00C618C9">
        <w:rPr>
          <w:rFonts w:eastAsia="Times New Roman"/>
        </w:rPr>
        <w:t>redovisningen av hur resultat extraherats ur studierna är beskrivning</w:t>
      </w:r>
      <w:r w:rsidR="00853008">
        <w:rPr>
          <w:rFonts w:eastAsia="Times New Roman"/>
        </w:rPr>
        <w:t>en</w:t>
      </w:r>
      <w:r w:rsidR="00C618C9">
        <w:rPr>
          <w:rFonts w:eastAsia="Times New Roman"/>
        </w:rPr>
        <w:t xml:space="preserve"> </w:t>
      </w:r>
      <w:r w:rsidR="00853008">
        <w:rPr>
          <w:rFonts w:eastAsia="Times New Roman"/>
        </w:rPr>
        <w:t>av orsaksanalyserna dock mycket knapphändig.</w:t>
      </w:r>
    </w:p>
    <w:p w14:paraId="1F319761" w14:textId="77777777" w:rsidR="000E0F3B" w:rsidRDefault="000E0F3B" w:rsidP="0042398B">
      <w:pPr>
        <w:rPr>
          <w:rFonts w:eastAsia="Times New Roman"/>
        </w:rPr>
      </w:pPr>
    </w:p>
    <w:p w14:paraId="4C891E75" w14:textId="77777777" w:rsidR="000E0F3B" w:rsidRDefault="004D2F32" w:rsidP="000E0F3B">
      <w:pPr>
        <w:rPr>
          <w:rFonts w:eastAsia="Times New Roman"/>
        </w:rPr>
      </w:pPr>
      <w:r>
        <w:rPr>
          <w:rFonts w:eastAsia="Times New Roman"/>
        </w:rPr>
        <w:t xml:space="preserve">På basis av diskussionen </w:t>
      </w:r>
      <w:r w:rsidR="000E0F3B">
        <w:rPr>
          <w:rFonts w:eastAsia="Times New Roman"/>
        </w:rPr>
        <w:t xml:space="preserve">ovan </w:t>
      </w:r>
      <w:r>
        <w:rPr>
          <w:rFonts w:eastAsia="Times New Roman"/>
        </w:rPr>
        <w:t xml:space="preserve">kan </w:t>
      </w:r>
      <w:r w:rsidR="000E0F3B">
        <w:rPr>
          <w:rFonts w:eastAsia="Times New Roman"/>
        </w:rPr>
        <w:t xml:space="preserve">fyra slutsatser </w:t>
      </w:r>
      <w:r>
        <w:rPr>
          <w:rFonts w:eastAsia="Times New Roman"/>
        </w:rPr>
        <w:t xml:space="preserve">dras </w:t>
      </w:r>
      <w:r w:rsidR="000E0F3B">
        <w:rPr>
          <w:rFonts w:eastAsia="Times New Roman"/>
        </w:rPr>
        <w:t xml:space="preserve">om den metod som har tillämpats i </w:t>
      </w:r>
      <w:r>
        <w:rPr>
          <w:rFonts w:eastAsia="Times New Roman"/>
        </w:rPr>
        <w:t>arbetet med denna översikt</w:t>
      </w:r>
      <w:r w:rsidR="000E0F3B">
        <w:rPr>
          <w:rFonts w:eastAsia="Times New Roman"/>
        </w:rPr>
        <w:t xml:space="preserve">. För det första har orsaksanalyserna tydligt konfigurativa drag. Utarbetandet av sådana analyser är svårt att dela upp i tydliga, på varandra följande steg; processen bygger på jämförelser mellan studier, och handlar om att </w:t>
      </w:r>
      <w:r w:rsidR="00737762">
        <w:rPr>
          <w:rFonts w:eastAsia="Times New Roman"/>
        </w:rPr>
        <w:t>urskilja och</w:t>
      </w:r>
      <w:r w:rsidR="000E0F3B">
        <w:rPr>
          <w:rFonts w:eastAsia="Times New Roman"/>
        </w:rPr>
        <w:t xml:space="preserve"> </w:t>
      </w:r>
      <w:r w:rsidR="00737762">
        <w:rPr>
          <w:rFonts w:eastAsia="Times New Roman"/>
        </w:rPr>
        <w:t xml:space="preserve">beskriva </w:t>
      </w:r>
      <w:r w:rsidR="000E0F3B">
        <w:rPr>
          <w:rFonts w:eastAsia="Times New Roman"/>
        </w:rPr>
        <w:t>mönster.</w:t>
      </w:r>
    </w:p>
    <w:p w14:paraId="43624D83" w14:textId="77777777" w:rsidR="000E0F3B" w:rsidRDefault="000E0F3B" w:rsidP="000E0F3B">
      <w:pPr>
        <w:rPr>
          <w:rFonts w:eastAsia="Times New Roman"/>
        </w:rPr>
      </w:pPr>
    </w:p>
    <w:p w14:paraId="2D4480B8" w14:textId="77777777" w:rsidR="000E0F3B" w:rsidRDefault="000E0F3B" w:rsidP="000E0F3B">
      <w:pPr>
        <w:rPr>
          <w:rFonts w:eastAsia="Times New Roman"/>
        </w:rPr>
      </w:pPr>
      <w:r>
        <w:rPr>
          <w:rFonts w:eastAsia="Times New Roman"/>
        </w:rPr>
        <w:lastRenderedPageBreak/>
        <w:t xml:space="preserve">För det andra gäller samma sak de induktiva analyser av grupper av studier som jag har nämnt i tidigare avsnitt; denna form av generalisering är </w:t>
      </w:r>
      <w:r w:rsidR="00737762">
        <w:rPr>
          <w:rFonts w:eastAsia="Times New Roman"/>
        </w:rPr>
        <w:t xml:space="preserve">likaså </w:t>
      </w:r>
      <w:r>
        <w:rPr>
          <w:rFonts w:eastAsia="Times New Roman"/>
        </w:rPr>
        <w:t>konfigurativ.</w:t>
      </w:r>
    </w:p>
    <w:p w14:paraId="380ADC6D" w14:textId="77777777" w:rsidR="000E0F3B" w:rsidRDefault="000E0F3B" w:rsidP="000E0F3B">
      <w:pPr>
        <w:rPr>
          <w:rFonts w:eastAsia="Times New Roman"/>
        </w:rPr>
      </w:pPr>
    </w:p>
    <w:p w14:paraId="13B70350" w14:textId="77777777" w:rsidR="000E0F3B" w:rsidRDefault="000E0F3B" w:rsidP="000E0F3B">
      <w:pPr>
        <w:rPr>
          <w:rFonts w:eastAsia="Times New Roman"/>
        </w:rPr>
      </w:pPr>
      <w:r>
        <w:rPr>
          <w:rFonts w:eastAsia="Times New Roman"/>
        </w:rPr>
        <w:t xml:space="preserve">För det tredje sker konfigurerandet i båda fallen inom ramen för synteserna. Gough och hans medarbetare har pekat på nödvändigheten av att tolka studier konfigurativt i ett inledande skede av aggregerande synteser, alltså innan materialet ställs samman. </w:t>
      </w:r>
      <w:r w:rsidR="00A773BE">
        <w:rPr>
          <w:rFonts w:eastAsia="Times New Roman"/>
        </w:rPr>
        <w:t xml:space="preserve">Den </w:t>
      </w:r>
      <w:r w:rsidR="00737762">
        <w:rPr>
          <w:rFonts w:eastAsia="Times New Roman"/>
        </w:rPr>
        <w:t xml:space="preserve">process i vilken potentiella studier </w:t>
      </w:r>
      <w:r w:rsidR="006F173E">
        <w:rPr>
          <w:rFonts w:eastAsia="Times New Roman"/>
        </w:rPr>
        <w:t xml:space="preserve">före syntesen </w:t>
      </w:r>
      <w:r w:rsidR="00737762">
        <w:rPr>
          <w:rFonts w:eastAsia="Times New Roman"/>
        </w:rPr>
        <w:t xml:space="preserve">gallras ut via </w:t>
      </w:r>
      <w:r>
        <w:rPr>
          <w:rFonts w:eastAsia="Times New Roman"/>
        </w:rPr>
        <w:t>relevans- och</w:t>
      </w:r>
      <w:r w:rsidR="00A773BE">
        <w:rPr>
          <w:rFonts w:eastAsia="Times New Roman"/>
        </w:rPr>
        <w:t xml:space="preserve"> kvalitetsbedömningar i</w:t>
      </w:r>
      <w:r w:rsidR="006F173E">
        <w:rPr>
          <w:rFonts w:eastAsia="Times New Roman"/>
        </w:rPr>
        <w:t>nbegriper</w:t>
      </w:r>
      <w:r>
        <w:rPr>
          <w:rFonts w:eastAsia="Times New Roman"/>
        </w:rPr>
        <w:t xml:space="preserve"> </w:t>
      </w:r>
      <w:r w:rsidR="006F173E">
        <w:rPr>
          <w:rFonts w:eastAsia="Times New Roman"/>
        </w:rPr>
        <w:t>oundvikligen</w:t>
      </w:r>
      <w:r>
        <w:rPr>
          <w:rFonts w:eastAsia="Times New Roman"/>
        </w:rPr>
        <w:t xml:space="preserve"> </w:t>
      </w:r>
      <w:r w:rsidR="006F173E">
        <w:rPr>
          <w:rFonts w:eastAsia="Times New Roman"/>
        </w:rPr>
        <w:t>tolkningar</w:t>
      </w:r>
      <w:r w:rsidR="00A773BE">
        <w:rPr>
          <w:rFonts w:eastAsia="Times New Roman"/>
        </w:rPr>
        <w:t>, dvs har en konfigurativ komponent</w:t>
      </w:r>
      <w:r w:rsidR="006F173E">
        <w:rPr>
          <w:rFonts w:eastAsia="Times New Roman"/>
        </w:rPr>
        <w:t>.</w:t>
      </w:r>
      <w:r>
        <w:rPr>
          <w:rFonts w:eastAsia="Times New Roman"/>
        </w:rPr>
        <w:t xml:space="preserve"> </w:t>
      </w:r>
      <w:r w:rsidR="006F173E">
        <w:rPr>
          <w:rFonts w:eastAsia="Times New Roman"/>
        </w:rPr>
        <w:t>Ett strikt tillämpat</w:t>
      </w:r>
      <w:r>
        <w:rPr>
          <w:rFonts w:eastAsia="Times New Roman"/>
        </w:rPr>
        <w:t xml:space="preserve"> </w:t>
      </w:r>
      <w:r w:rsidR="006F173E">
        <w:rPr>
          <w:rFonts w:eastAsia="Times New Roman"/>
        </w:rPr>
        <w:t>krav</w:t>
      </w:r>
      <w:r>
        <w:rPr>
          <w:rFonts w:eastAsia="Times New Roman"/>
        </w:rPr>
        <w:t xml:space="preserve"> på “rimligt likartade” villkor för experiment- och kontrollgrupper </w:t>
      </w:r>
      <w:r w:rsidR="006F173E">
        <w:rPr>
          <w:rFonts w:eastAsia="Times New Roman"/>
        </w:rPr>
        <w:t xml:space="preserve">i denna översikt </w:t>
      </w:r>
      <w:r>
        <w:rPr>
          <w:rFonts w:eastAsia="Times New Roman"/>
        </w:rPr>
        <w:t>skulle ha utgjort ett annat exempel</w:t>
      </w:r>
      <w:r w:rsidR="006F173E">
        <w:rPr>
          <w:rFonts w:eastAsia="Times New Roman"/>
        </w:rPr>
        <w:t xml:space="preserve"> på konfigurerande före syntesfasen</w:t>
      </w:r>
      <w:r>
        <w:rPr>
          <w:rFonts w:eastAsia="Times New Roman"/>
        </w:rPr>
        <w:t xml:space="preserve">. </w:t>
      </w:r>
      <w:r w:rsidR="006F173E">
        <w:rPr>
          <w:rFonts w:eastAsia="Times New Roman"/>
        </w:rPr>
        <w:t xml:space="preserve">Genom </w:t>
      </w:r>
      <w:r>
        <w:rPr>
          <w:rFonts w:eastAsia="Times New Roman"/>
        </w:rPr>
        <w:t xml:space="preserve">att istället </w:t>
      </w:r>
      <w:r w:rsidR="006F173E">
        <w:rPr>
          <w:rFonts w:eastAsia="Times New Roman"/>
        </w:rPr>
        <w:t>tillämpa</w:t>
      </w:r>
      <w:r>
        <w:rPr>
          <w:rFonts w:eastAsia="Times New Roman"/>
        </w:rPr>
        <w:t xml:space="preserve"> detta kriterium mycket liberalt har </w:t>
      </w:r>
      <w:r w:rsidR="006F173E">
        <w:rPr>
          <w:rFonts w:eastAsia="Times New Roman"/>
        </w:rPr>
        <w:t xml:space="preserve">projektgruppen </w:t>
      </w:r>
      <w:r>
        <w:rPr>
          <w:rFonts w:eastAsia="Times New Roman"/>
        </w:rPr>
        <w:t>gett sig själva ett betydligt större utrymme för konfigurerande, i form av orsaksanalyser, inom ramen för själva synteserna.</w:t>
      </w:r>
    </w:p>
    <w:p w14:paraId="6F06D300" w14:textId="77777777" w:rsidR="000E0F3B" w:rsidRDefault="000E0F3B" w:rsidP="000E0F3B">
      <w:pPr>
        <w:rPr>
          <w:rFonts w:eastAsia="Times New Roman"/>
        </w:rPr>
      </w:pPr>
    </w:p>
    <w:p w14:paraId="73D99704" w14:textId="77777777" w:rsidR="000E0F3B" w:rsidRDefault="000E0F3B" w:rsidP="0042398B">
      <w:pPr>
        <w:rPr>
          <w:rFonts w:eastAsia="Times New Roman"/>
        </w:rPr>
      </w:pPr>
      <w:r>
        <w:rPr>
          <w:rFonts w:eastAsia="Times New Roman"/>
        </w:rPr>
        <w:t xml:space="preserve">För det fjärde intas i orsaksanalysernas kritiska läsning av studiernas kunskapsanspråk ett konstruktivistiskt, eller, om man så vill, ett metaperspektiv. Denna konstruktivism kombineras dock, liksom i EPPI-gruppens </w:t>
      </w:r>
      <w:r w:rsidR="00401EE1">
        <w:rPr>
          <w:rFonts w:eastAsia="Times New Roman"/>
        </w:rPr>
        <w:t>verksamhet</w:t>
      </w:r>
      <w:r>
        <w:rPr>
          <w:rFonts w:eastAsia="Times New Roman"/>
        </w:rPr>
        <w:t xml:space="preserve">, med realism, </w:t>
      </w:r>
      <w:r w:rsidR="00401EE1">
        <w:rPr>
          <w:rFonts w:eastAsia="Times New Roman"/>
        </w:rPr>
        <w:t xml:space="preserve">alltså </w:t>
      </w:r>
      <w:r>
        <w:rPr>
          <w:rFonts w:eastAsia="Times New Roman"/>
        </w:rPr>
        <w:t>en strävan att ta reda på vilka effekter de digitala lärresurserna faktiskt har. Det rör sig så att säga om konstruktivism i realismens tjänst.</w:t>
      </w:r>
    </w:p>
    <w:p w14:paraId="7D836391" w14:textId="77777777" w:rsidR="00CA6950" w:rsidRDefault="00CA6950" w:rsidP="0042398B">
      <w:pPr>
        <w:rPr>
          <w:rFonts w:eastAsia="Times New Roman"/>
        </w:rPr>
      </w:pPr>
    </w:p>
    <w:p w14:paraId="348FC044" w14:textId="77777777" w:rsidR="00CA6950" w:rsidRPr="000B384D" w:rsidRDefault="00CA6950" w:rsidP="0042398B">
      <w:pPr>
        <w:rPr>
          <w:rFonts w:eastAsia="Times New Roman"/>
          <w:sz w:val="36"/>
          <w:szCs w:val="36"/>
        </w:rPr>
      </w:pPr>
      <w:r w:rsidRPr="000B384D">
        <w:rPr>
          <w:rFonts w:eastAsia="Times New Roman"/>
          <w:sz w:val="36"/>
          <w:szCs w:val="36"/>
        </w:rPr>
        <w:t>Översikten om klassrumsdialog</w:t>
      </w:r>
    </w:p>
    <w:p w14:paraId="09CFBDA8" w14:textId="77777777" w:rsidR="00CA6950" w:rsidRDefault="00CA6950" w:rsidP="0042398B">
      <w:pPr>
        <w:rPr>
          <w:rFonts w:eastAsia="Times New Roman"/>
        </w:rPr>
      </w:pPr>
    </w:p>
    <w:p w14:paraId="01AB9E6B" w14:textId="5DD69060" w:rsidR="00CA6950" w:rsidRDefault="00E7631F" w:rsidP="0042398B">
      <w:pPr>
        <w:rPr>
          <w:rFonts w:eastAsia="Times New Roman"/>
        </w:rPr>
      </w:pPr>
      <w:r>
        <w:rPr>
          <w:rFonts w:eastAsia="Times New Roman"/>
        </w:rPr>
        <w:t xml:space="preserve">Dispositionen </w:t>
      </w:r>
      <w:r w:rsidR="006B2EB3">
        <w:rPr>
          <w:rFonts w:eastAsia="Times New Roman"/>
        </w:rPr>
        <w:t xml:space="preserve">för denna </w:t>
      </w:r>
      <w:r w:rsidR="006B2EB3" w:rsidRPr="006B2EB3">
        <w:rPr>
          <w:rFonts w:eastAsia="Times New Roman"/>
        </w:rPr>
        <w:t xml:space="preserve">översikt </w:t>
      </w:r>
      <w:r w:rsidR="009C766C">
        <w:rPr>
          <w:rFonts w:eastAsia="Times New Roman"/>
        </w:rPr>
        <w:t>sammanfaller</w:t>
      </w:r>
      <w:r>
        <w:rPr>
          <w:rFonts w:eastAsia="Times New Roman"/>
        </w:rPr>
        <w:t xml:space="preserve"> i sina huvuddrag </w:t>
      </w:r>
      <w:r w:rsidR="009C766C">
        <w:rPr>
          <w:rFonts w:eastAsia="Times New Roman"/>
        </w:rPr>
        <w:t xml:space="preserve">med den </w:t>
      </w:r>
      <w:r w:rsidR="006B2EB3">
        <w:rPr>
          <w:rFonts w:eastAsia="Times New Roman"/>
        </w:rPr>
        <w:t xml:space="preserve">som </w:t>
      </w:r>
      <w:r w:rsidR="009C766C">
        <w:rPr>
          <w:rFonts w:eastAsia="Times New Roman"/>
        </w:rPr>
        <w:t xml:space="preserve">valts </w:t>
      </w:r>
      <w:r w:rsidR="006B2EB3">
        <w:rPr>
          <w:rFonts w:eastAsia="Times New Roman"/>
        </w:rPr>
        <w:t xml:space="preserve">i rapporterna om digitala lärresurser. </w:t>
      </w:r>
      <w:r>
        <w:rPr>
          <w:rFonts w:eastAsia="Times New Roman"/>
        </w:rPr>
        <w:t xml:space="preserve">Ett förord följs </w:t>
      </w:r>
      <w:r w:rsidR="00215FD0">
        <w:rPr>
          <w:rFonts w:eastAsia="Times New Roman"/>
        </w:rPr>
        <w:t xml:space="preserve">först </w:t>
      </w:r>
      <w:r>
        <w:rPr>
          <w:rFonts w:eastAsia="Times New Roman"/>
        </w:rPr>
        <w:t>av samma avsnitt om värdet av skol</w:t>
      </w:r>
      <w:r w:rsidRPr="00E7631F">
        <w:rPr>
          <w:rFonts w:eastAsia="Times New Roman"/>
        </w:rPr>
        <w:t xml:space="preserve">forskning </w:t>
      </w:r>
      <w:r>
        <w:rPr>
          <w:rFonts w:eastAsia="Times New Roman"/>
        </w:rPr>
        <w:t xml:space="preserve">och </w:t>
      </w:r>
      <w:r w:rsidRPr="00E7631F">
        <w:rPr>
          <w:rFonts w:eastAsia="Times New Roman"/>
        </w:rPr>
        <w:t xml:space="preserve">systematiska översikter </w:t>
      </w:r>
      <w:r w:rsidR="00215FD0">
        <w:rPr>
          <w:rFonts w:eastAsia="Times New Roman"/>
        </w:rPr>
        <w:t xml:space="preserve">som i de andra rapporterna, därefter av en </w:t>
      </w:r>
      <w:r w:rsidR="009C766C">
        <w:rPr>
          <w:rFonts w:eastAsia="Times New Roman"/>
        </w:rPr>
        <w:t xml:space="preserve">kort </w:t>
      </w:r>
      <w:r w:rsidR="00215FD0">
        <w:rPr>
          <w:rFonts w:eastAsia="Times New Roman"/>
        </w:rPr>
        <w:t>sammanfattning</w:t>
      </w:r>
      <w:r w:rsidR="009C766C">
        <w:rPr>
          <w:rFonts w:eastAsia="Times New Roman"/>
        </w:rPr>
        <w:t xml:space="preserve"> av översiktens resultat</w:t>
      </w:r>
      <w:r w:rsidR="00215FD0">
        <w:rPr>
          <w:rFonts w:eastAsia="Times New Roman"/>
        </w:rPr>
        <w:t xml:space="preserve">. </w:t>
      </w:r>
      <w:r w:rsidR="00DF1C19">
        <w:rPr>
          <w:rFonts w:eastAsia="Times New Roman"/>
        </w:rPr>
        <w:t xml:space="preserve">I själva rapporttexten ges först två korta </w:t>
      </w:r>
      <w:r w:rsidR="00BE2D01">
        <w:rPr>
          <w:rFonts w:eastAsia="Times New Roman"/>
        </w:rPr>
        <w:t>kapitel</w:t>
      </w:r>
      <w:r w:rsidR="00DF1C19">
        <w:rPr>
          <w:rFonts w:eastAsia="Times New Roman"/>
        </w:rPr>
        <w:t xml:space="preserve">, det ena med en motivering av valet av ämne för översikten, det andra med en kort förklaring av hur litteratur har valts ut. </w:t>
      </w:r>
      <w:r w:rsidR="003A0441">
        <w:rPr>
          <w:rFonts w:eastAsia="Times New Roman"/>
        </w:rPr>
        <w:t xml:space="preserve">På dessa två kapitel följer </w:t>
      </w:r>
      <w:r w:rsidR="009204BD">
        <w:rPr>
          <w:rFonts w:eastAsia="Times New Roman"/>
        </w:rPr>
        <w:t xml:space="preserve">de </w:t>
      </w:r>
      <w:r w:rsidR="009C766C">
        <w:rPr>
          <w:rFonts w:eastAsia="Times New Roman"/>
        </w:rPr>
        <w:t>centrala,</w:t>
      </w:r>
      <w:r w:rsidR="009204BD">
        <w:rPr>
          <w:rFonts w:eastAsia="Times New Roman"/>
        </w:rPr>
        <w:t xml:space="preserve"> </w:t>
      </w:r>
      <w:r w:rsidR="009C766C">
        <w:rPr>
          <w:rFonts w:eastAsia="Times New Roman"/>
        </w:rPr>
        <w:t xml:space="preserve">med </w:t>
      </w:r>
      <w:r w:rsidR="009204BD">
        <w:rPr>
          <w:rFonts w:eastAsia="Times New Roman"/>
        </w:rPr>
        <w:t>resultatredovisning respektive en diskussion av den metod arbetet bygger på.</w:t>
      </w:r>
      <w:r w:rsidR="004571C7">
        <w:rPr>
          <w:rFonts w:eastAsia="Times New Roman"/>
        </w:rPr>
        <w:t xml:space="preserve"> </w:t>
      </w:r>
      <w:r w:rsidR="00D17D85">
        <w:rPr>
          <w:rFonts w:eastAsia="Times New Roman"/>
        </w:rPr>
        <w:t xml:space="preserve">Dessförinnan har projektgruppens medlemmar namngivits på försättsbladet, tillsammans med två externa </w:t>
      </w:r>
      <w:r w:rsidR="00D17D85" w:rsidRPr="00D17D85">
        <w:rPr>
          <w:rFonts w:eastAsia="Times New Roman"/>
        </w:rPr>
        <w:t xml:space="preserve">forskare </w:t>
      </w:r>
      <w:r w:rsidR="00D17D85">
        <w:rPr>
          <w:rFonts w:eastAsia="Times New Roman"/>
        </w:rPr>
        <w:t xml:space="preserve">och två granskare. </w:t>
      </w:r>
      <w:r w:rsidR="00BD55EE">
        <w:rPr>
          <w:rFonts w:eastAsia="Times New Roman"/>
        </w:rPr>
        <w:t xml:space="preserve">I förordet riktar institutets </w:t>
      </w:r>
      <w:r w:rsidR="003A0441">
        <w:rPr>
          <w:rFonts w:eastAsia="Times New Roman"/>
        </w:rPr>
        <w:t>första</w:t>
      </w:r>
      <w:r w:rsidR="00BD55EE">
        <w:rPr>
          <w:rFonts w:eastAsia="Times New Roman"/>
        </w:rPr>
        <w:t xml:space="preserve"> chef ett tack till dem alla, och namnger även fem lärare som ingått i </w:t>
      </w:r>
      <w:r w:rsidR="005F42BE">
        <w:rPr>
          <w:rFonts w:eastAsia="Times New Roman"/>
        </w:rPr>
        <w:t>en referensgrupp</w:t>
      </w:r>
      <w:r w:rsidR="00BD55EE">
        <w:rPr>
          <w:rFonts w:eastAsia="Times New Roman"/>
        </w:rPr>
        <w:t>.</w:t>
      </w:r>
      <w:r w:rsidR="00EC48B2">
        <w:rPr>
          <w:rFonts w:eastAsia="Times New Roman"/>
        </w:rPr>
        <w:t xml:space="preserve"> Till omfånget är översikten jämförbar med rapporten om förskolan.</w:t>
      </w:r>
    </w:p>
    <w:p w14:paraId="2FE90DD1" w14:textId="77777777" w:rsidR="00BD55EE" w:rsidRDefault="00BD55EE" w:rsidP="0042398B">
      <w:pPr>
        <w:rPr>
          <w:rFonts w:eastAsia="Times New Roman"/>
        </w:rPr>
      </w:pPr>
    </w:p>
    <w:p w14:paraId="1AC3E572" w14:textId="77777777" w:rsidR="00BD55EE" w:rsidRDefault="008E52A2" w:rsidP="0042398B">
      <w:pPr>
        <w:rPr>
          <w:rFonts w:eastAsia="Times New Roman"/>
        </w:rPr>
      </w:pPr>
      <w:r>
        <w:rPr>
          <w:rFonts w:eastAsia="Times New Roman"/>
        </w:rPr>
        <w:t xml:space="preserve">Översiktens syfte är att </w:t>
      </w:r>
      <w:r w:rsidR="005F6A8B">
        <w:rPr>
          <w:rFonts w:eastAsia="Times New Roman"/>
        </w:rPr>
        <w:t>förmedla viktiga resultat från</w:t>
      </w:r>
      <w:r>
        <w:rPr>
          <w:rFonts w:eastAsia="Times New Roman"/>
        </w:rPr>
        <w:t xml:space="preserve"> </w:t>
      </w:r>
      <w:r w:rsidRPr="00E170F5">
        <w:rPr>
          <w:rFonts w:eastAsia="Times New Roman"/>
        </w:rPr>
        <w:t xml:space="preserve">forskning </w:t>
      </w:r>
      <w:r>
        <w:rPr>
          <w:rFonts w:eastAsia="Times New Roman"/>
        </w:rPr>
        <w:t>som beskriver olika mönste</w:t>
      </w:r>
      <w:r w:rsidR="005F6A8B">
        <w:rPr>
          <w:rFonts w:eastAsia="Times New Roman"/>
        </w:rPr>
        <w:t xml:space="preserve">r i elevers </w:t>
      </w:r>
      <w:r w:rsidR="005F42BE">
        <w:rPr>
          <w:rFonts w:eastAsia="Times New Roman"/>
        </w:rPr>
        <w:t xml:space="preserve">och lärares </w:t>
      </w:r>
      <w:r w:rsidR="005F6A8B">
        <w:rPr>
          <w:rFonts w:eastAsia="Times New Roman"/>
        </w:rPr>
        <w:t>samtal om matematik.</w:t>
      </w:r>
      <w:r>
        <w:rPr>
          <w:rFonts w:eastAsia="Times New Roman"/>
        </w:rPr>
        <w:t xml:space="preserve"> </w:t>
      </w:r>
      <w:r w:rsidR="005F6A8B">
        <w:rPr>
          <w:rFonts w:eastAsia="Times New Roman"/>
        </w:rPr>
        <w:lastRenderedPageBreak/>
        <w:t xml:space="preserve">Sådan </w:t>
      </w:r>
      <w:r w:rsidR="005F6A8B" w:rsidRPr="005F6A8B">
        <w:rPr>
          <w:rFonts w:eastAsia="Times New Roman"/>
        </w:rPr>
        <w:t xml:space="preserve">kunskap </w:t>
      </w:r>
      <w:r w:rsidR="005F6A8B">
        <w:rPr>
          <w:rFonts w:eastAsia="Times New Roman"/>
        </w:rPr>
        <w:t xml:space="preserve">kan </w:t>
      </w:r>
      <w:r>
        <w:rPr>
          <w:rFonts w:eastAsia="Times New Roman"/>
        </w:rPr>
        <w:t xml:space="preserve">hjälpa lärare att känna igen och förstå dessa mönster, och ge dem redskap för att styra interaktionen </w:t>
      </w:r>
      <w:r w:rsidR="005F6A8B">
        <w:rPr>
          <w:rFonts w:eastAsia="Times New Roman"/>
        </w:rPr>
        <w:t>på sätt som stärker elevernas förutsättningar för delt</w:t>
      </w:r>
      <w:r w:rsidR="00862ECA">
        <w:rPr>
          <w:rFonts w:eastAsia="Times New Roman"/>
        </w:rPr>
        <w:t>a</w:t>
      </w:r>
      <w:r w:rsidR="005F6A8B">
        <w:rPr>
          <w:rFonts w:eastAsia="Times New Roman"/>
        </w:rPr>
        <w:t>gande och lärande</w:t>
      </w:r>
      <w:r>
        <w:rPr>
          <w:rFonts w:eastAsia="Times New Roman"/>
        </w:rPr>
        <w:t xml:space="preserve">. Frågeställningen </w:t>
      </w:r>
      <w:r w:rsidR="00EA1C3B">
        <w:rPr>
          <w:rFonts w:eastAsia="Times New Roman"/>
        </w:rPr>
        <w:t>lyder</w:t>
      </w:r>
      <w:r>
        <w:rPr>
          <w:rFonts w:eastAsia="Times New Roman"/>
        </w:rPr>
        <w:t xml:space="preserve"> som följer</w:t>
      </w:r>
      <w:r w:rsidR="00EA1C3B">
        <w:rPr>
          <w:rFonts w:eastAsia="Times New Roman"/>
        </w:rPr>
        <w:t>:</w:t>
      </w:r>
    </w:p>
    <w:p w14:paraId="6845FAB6" w14:textId="77777777" w:rsidR="00EA1C3B" w:rsidRDefault="00EA1C3B" w:rsidP="0042398B">
      <w:pPr>
        <w:rPr>
          <w:rFonts w:eastAsia="Times New Roman"/>
        </w:rPr>
      </w:pPr>
    </w:p>
    <w:p w14:paraId="5FB01013" w14:textId="77777777" w:rsidR="00EA1C3B" w:rsidRDefault="006B0CA7" w:rsidP="006B0CA7">
      <w:pPr>
        <w:pStyle w:val="Cit"/>
      </w:pPr>
      <w:r w:rsidRPr="006B0CA7">
        <w:t>Vad kännetecknar klassrumsdialoger som engager</w:t>
      </w:r>
      <w:r>
        <w:t xml:space="preserve">ar elever i </w:t>
      </w:r>
      <w:r w:rsidRPr="006B0CA7">
        <w:t>matematiska</w:t>
      </w:r>
      <w:r>
        <w:t xml:space="preserve"> </w:t>
      </w:r>
      <w:r w:rsidRPr="006B0CA7">
        <w:t>resonemang och som möter och tar till</w:t>
      </w:r>
      <w:r>
        <w:t xml:space="preserve">vara elevers olikheter, och vad </w:t>
      </w:r>
      <w:r w:rsidRPr="006B0CA7">
        <w:t>kännetecknar</w:t>
      </w:r>
      <w:r>
        <w:t xml:space="preserve"> </w:t>
      </w:r>
      <w:r w:rsidRPr="006B0CA7">
        <w:t>lärarens ledning av sådana dialoger?</w:t>
      </w:r>
    </w:p>
    <w:p w14:paraId="0065A1B1" w14:textId="77777777" w:rsidR="006B0CA7" w:rsidRDefault="006B0CA7" w:rsidP="006B0CA7">
      <w:pPr>
        <w:rPr>
          <w:rFonts w:eastAsia="Times New Roman"/>
        </w:rPr>
      </w:pPr>
    </w:p>
    <w:p w14:paraId="55F8AF48" w14:textId="77777777" w:rsidR="00481316" w:rsidRDefault="00481316" w:rsidP="006B0CA7">
      <w:pPr>
        <w:rPr>
          <w:rFonts w:eastAsia="Times New Roman"/>
        </w:rPr>
      </w:pPr>
      <w:r>
        <w:rPr>
          <w:rFonts w:eastAsia="Times New Roman"/>
        </w:rPr>
        <w:t xml:space="preserve">Samtliga studier som valts ut för att ingå i översikten bygger på observationer i klassrummet, och </w:t>
      </w:r>
      <w:r w:rsidR="0082791C">
        <w:rPr>
          <w:rFonts w:eastAsia="Times New Roman"/>
        </w:rPr>
        <w:t xml:space="preserve">är </w:t>
      </w:r>
      <w:r>
        <w:rPr>
          <w:rFonts w:eastAsia="Times New Roman"/>
        </w:rPr>
        <w:t>alltså kvalitativ</w:t>
      </w:r>
      <w:r w:rsidR="0082791C">
        <w:rPr>
          <w:rFonts w:eastAsia="Times New Roman"/>
        </w:rPr>
        <w:t xml:space="preserve">a. </w:t>
      </w:r>
      <w:r w:rsidR="005F42BE">
        <w:rPr>
          <w:rFonts w:eastAsia="Times New Roman"/>
        </w:rPr>
        <w:t xml:space="preserve">I litteratursökningen identifierades </w:t>
      </w:r>
      <w:r w:rsidR="00002B78">
        <w:rPr>
          <w:rFonts w:eastAsia="Times New Roman"/>
        </w:rPr>
        <w:t>över 1</w:t>
      </w:r>
      <w:r w:rsidR="004F0F06">
        <w:rPr>
          <w:rFonts w:eastAsia="Times New Roman"/>
        </w:rPr>
        <w:t xml:space="preserve">0 </w:t>
      </w:r>
      <w:r w:rsidR="00002B78">
        <w:rPr>
          <w:rFonts w:eastAsia="Times New Roman"/>
        </w:rPr>
        <w:t>000</w:t>
      </w:r>
      <w:r w:rsidR="00AD033E">
        <w:rPr>
          <w:rFonts w:eastAsia="Times New Roman"/>
        </w:rPr>
        <w:t xml:space="preserve"> </w:t>
      </w:r>
      <w:r w:rsidR="005F42BE">
        <w:rPr>
          <w:rFonts w:eastAsia="Times New Roman"/>
        </w:rPr>
        <w:t>studier,</w:t>
      </w:r>
      <w:r w:rsidR="00002B78">
        <w:rPr>
          <w:rFonts w:eastAsia="Times New Roman"/>
        </w:rPr>
        <w:t xml:space="preserve"> </w:t>
      </w:r>
      <w:r w:rsidR="005F42BE">
        <w:rPr>
          <w:rFonts w:eastAsia="Times New Roman"/>
        </w:rPr>
        <w:t xml:space="preserve">varav 18 återstod </w:t>
      </w:r>
      <w:r w:rsidR="00002B78">
        <w:rPr>
          <w:rFonts w:eastAsia="Times New Roman"/>
        </w:rPr>
        <w:t xml:space="preserve">efter relevans- och kvalitetsbedömning. Av en tabell i slutet av resultatkapitlet framgår att </w:t>
      </w:r>
      <w:r w:rsidR="00843243">
        <w:rPr>
          <w:rFonts w:eastAsia="Times New Roman"/>
        </w:rPr>
        <w:t>hälften av</w:t>
      </w:r>
      <w:r w:rsidR="00002B78">
        <w:rPr>
          <w:rFonts w:eastAsia="Times New Roman"/>
        </w:rPr>
        <w:t xml:space="preserve"> dem </w:t>
      </w:r>
      <w:r w:rsidR="00843243">
        <w:rPr>
          <w:rFonts w:eastAsia="Times New Roman"/>
        </w:rPr>
        <w:t xml:space="preserve">är </w:t>
      </w:r>
      <w:r w:rsidR="00002B78">
        <w:rPr>
          <w:rFonts w:eastAsia="Times New Roman"/>
        </w:rPr>
        <w:t xml:space="preserve">från USA, </w:t>
      </w:r>
      <w:r w:rsidR="00843243">
        <w:rPr>
          <w:rFonts w:eastAsia="Times New Roman"/>
        </w:rPr>
        <w:t xml:space="preserve">medan </w:t>
      </w:r>
      <w:r w:rsidR="00AD033E">
        <w:rPr>
          <w:rFonts w:eastAsia="Times New Roman"/>
        </w:rPr>
        <w:t>resten</w:t>
      </w:r>
      <w:r w:rsidR="00843243">
        <w:rPr>
          <w:rFonts w:eastAsia="Times New Roman"/>
        </w:rPr>
        <w:t xml:space="preserve"> fördelar sig mellan bl a Nya Zeeland, </w:t>
      </w:r>
      <w:r w:rsidR="00002B78">
        <w:rPr>
          <w:rFonts w:eastAsia="Times New Roman"/>
        </w:rPr>
        <w:t>Nederländerna och Israel. En skandinavisk</w:t>
      </w:r>
      <w:r w:rsidR="00843243">
        <w:rPr>
          <w:rFonts w:eastAsia="Times New Roman"/>
        </w:rPr>
        <w:t xml:space="preserve"> studie ingår</w:t>
      </w:r>
      <w:r w:rsidR="00002B78">
        <w:rPr>
          <w:rFonts w:eastAsia="Times New Roman"/>
        </w:rPr>
        <w:t>, från Norge</w:t>
      </w:r>
      <w:r w:rsidR="00843243">
        <w:rPr>
          <w:rFonts w:eastAsia="Times New Roman"/>
        </w:rPr>
        <w:t>. Samtliga studier har genomförts i grundskolan, på olika nivåer.</w:t>
      </w:r>
    </w:p>
    <w:p w14:paraId="40694EE6" w14:textId="77777777" w:rsidR="00481316" w:rsidRDefault="00481316" w:rsidP="006B0CA7">
      <w:pPr>
        <w:rPr>
          <w:rFonts w:eastAsia="Times New Roman"/>
        </w:rPr>
      </w:pPr>
    </w:p>
    <w:p w14:paraId="2304AB71" w14:textId="77777777" w:rsidR="00273A42" w:rsidRDefault="00CD63D7" w:rsidP="006B0CA7">
      <w:pPr>
        <w:rPr>
          <w:rFonts w:eastAsia="Times New Roman"/>
        </w:rPr>
      </w:pPr>
      <w:r>
        <w:rPr>
          <w:rFonts w:eastAsia="Times New Roman"/>
        </w:rPr>
        <w:t xml:space="preserve">I stort </w:t>
      </w:r>
      <w:r w:rsidR="00D007B2">
        <w:rPr>
          <w:rFonts w:eastAsia="Times New Roman"/>
        </w:rPr>
        <w:t>har, som redan nämnts, samma</w:t>
      </w:r>
      <w:r>
        <w:rPr>
          <w:rFonts w:eastAsia="Times New Roman"/>
        </w:rPr>
        <w:t xml:space="preserve"> disposition valts för </w:t>
      </w:r>
      <w:r w:rsidR="00D007B2">
        <w:rPr>
          <w:rFonts w:eastAsia="Times New Roman"/>
        </w:rPr>
        <w:t xml:space="preserve">institutets första två </w:t>
      </w:r>
      <w:r w:rsidR="00D007B2" w:rsidRPr="00D007B2">
        <w:rPr>
          <w:rFonts w:eastAsia="Times New Roman"/>
        </w:rPr>
        <w:t>översik</w:t>
      </w:r>
      <w:r w:rsidR="00D007B2">
        <w:rPr>
          <w:rFonts w:eastAsia="Times New Roman"/>
        </w:rPr>
        <w:t xml:space="preserve">ter. I resultatkapitlen är skillnaden mellan dem dock slående. </w:t>
      </w:r>
      <w:r w:rsidR="00273A42">
        <w:rPr>
          <w:rFonts w:eastAsia="Times New Roman"/>
        </w:rPr>
        <w:t xml:space="preserve">I översikten om klassrumsdialog är resultatkapitlet uppbyggt kring teman, länkade till varandra som en sammanhängande kedja. Kapitlets avsnitt ger inte sammanfattningar av grupp efter grupp av studier, utan </w:t>
      </w:r>
      <w:r w:rsidR="0039526B">
        <w:rPr>
          <w:rFonts w:eastAsia="Times New Roman"/>
        </w:rPr>
        <w:t xml:space="preserve">diskuterar innebörden i och relationerna mellan olika begrepp och idéer ur studierna. Vissa studier återkommer därför ofta, medan andra ges en mer undanskymd roll. </w:t>
      </w:r>
      <w:r w:rsidR="00D5287D">
        <w:rPr>
          <w:rFonts w:eastAsia="Times New Roman"/>
        </w:rPr>
        <w:t xml:space="preserve">Sammanfattande slutsatser ges inte i kapitlets inledning, däremot i dess avslutande avsnitt. </w:t>
      </w:r>
      <w:r w:rsidR="00FA2FAB">
        <w:rPr>
          <w:rFonts w:eastAsia="Times New Roman"/>
        </w:rPr>
        <w:t xml:space="preserve">I analogi med min analys av översikten om lärresurser skulle </w:t>
      </w:r>
      <w:r w:rsidR="00FC7F99">
        <w:rPr>
          <w:rFonts w:eastAsia="Times New Roman"/>
        </w:rPr>
        <w:t>kapitlets lejonpart kunna betraktas som resultatredovisning på mellannivå, medan de avslutande slutsatserna skulle utgöra dess översta nivå. Vad som i översikten om lärresurser utgör en tredje nivå motsvaras här av en serie sammanfattningar av de 18 st</w:t>
      </w:r>
      <w:r w:rsidR="00FD6267">
        <w:rPr>
          <w:rFonts w:eastAsia="Times New Roman"/>
        </w:rPr>
        <w:t>udierna, presenterade separat</w:t>
      </w:r>
      <w:r w:rsidR="0013778F">
        <w:rPr>
          <w:rFonts w:eastAsia="Times New Roman"/>
        </w:rPr>
        <w:t xml:space="preserve"> i Bilaga 1</w:t>
      </w:r>
      <w:r w:rsidR="00FC7F99">
        <w:rPr>
          <w:rFonts w:eastAsia="Times New Roman"/>
        </w:rPr>
        <w:t xml:space="preserve">. Dessa sammanfattningar är mycket korta, och följer ett enhetligt format med </w:t>
      </w:r>
      <w:r w:rsidR="00BE2DD0">
        <w:rPr>
          <w:rFonts w:eastAsia="Times New Roman"/>
        </w:rPr>
        <w:t xml:space="preserve">uppgifter om studiernas deltagare, metoder för insamling av data, </w:t>
      </w:r>
      <w:r w:rsidR="004F0F06">
        <w:rPr>
          <w:rFonts w:eastAsia="Times New Roman"/>
        </w:rPr>
        <w:t>samt</w:t>
      </w:r>
      <w:r w:rsidR="00BE2DD0">
        <w:rPr>
          <w:rFonts w:eastAsia="Times New Roman"/>
        </w:rPr>
        <w:t xml:space="preserve"> result</w:t>
      </w:r>
      <w:r w:rsidR="001A5078">
        <w:rPr>
          <w:rFonts w:eastAsia="Times New Roman"/>
        </w:rPr>
        <w:t>at.</w:t>
      </w:r>
    </w:p>
    <w:p w14:paraId="0531D862" w14:textId="77777777" w:rsidR="00273A42" w:rsidRDefault="00273A42" w:rsidP="006B0CA7">
      <w:pPr>
        <w:rPr>
          <w:rFonts w:eastAsia="Times New Roman"/>
        </w:rPr>
      </w:pPr>
    </w:p>
    <w:p w14:paraId="6446E245" w14:textId="77777777" w:rsidR="00481316" w:rsidRDefault="00342F59" w:rsidP="00922946">
      <w:pPr>
        <w:rPr>
          <w:rFonts w:eastAsia="Times New Roman"/>
        </w:rPr>
      </w:pPr>
      <w:r>
        <w:rPr>
          <w:rFonts w:eastAsia="Times New Roman"/>
        </w:rPr>
        <w:t xml:space="preserve">Resultatkapitlet inleds med en distinktion mellan tre olika typer av klassrumsdialog: disputerande, kumulativa och utforskande samtal. </w:t>
      </w:r>
      <w:r w:rsidR="00922946">
        <w:rPr>
          <w:rFonts w:eastAsia="Times New Roman"/>
        </w:rPr>
        <w:t xml:space="preserve">Distinktionen </w:t>
      </w:r>
      <w:r>
        <w:rPr>
          <w:rFonts w:eastAsia="Times New Roman"/>
        </w:rPr>
        <w:t xml:space="preserve">utgör </w:t>
      </w:r>
      <w:r w:rsidR="00922946">
        <w:rPr>
          <w:rFonts w:eastAsia="Times New Roman"/>
        </w:rPr>
        <w:t xml:space="preserve">startpunkten för hela det resonemang som förs genom kapitlet: </w:t>
      </w:r>
      <w:r w:rsidR="00FD6267">
        <w:rPr>
          <w:rFonts w:eastAsia="Times New Roman"/>
        </w:rPr>
        <w:t>med hjälp av</w:t>
      </w:r>
      <w:r w:rsidR="00922946">
        <w:rPr>
          <w:rFonts w:eastAsia="Times New Roman"/>
        </w:rPr>
        <w:t xml:space="preserve"> kontrasten till disputerande och kumulativa samtal lyfts den utforskande typen av dialog fram som avgörande för elevers deltagande och lärande. Som källa till distinktionen hänvisar </w:t>
      </w:r>
      <w:r w:rsidR="00922946">
        <w:rPr>
          <w:rFonts w:eastAsia="Times New Roman"/>
        </w:rPr>
        <w:lastRenderedPageBreak/>
        <w:t xml:space="preserve">författarna till två av de studier som ingår i </w:t>
      </w:r>
      <w:r w:rsidR="008E5176">
        <w:rPr>
          <w:rFonts w:eastAsia="Times New Roman"/>
        </w:rPr>
        <w:t>översikten, och i en not förklarar de varför de valt utforskande samtal som övergripande begrepp i sin analys.</w:t>
      </w:r>
    </w:p>
    <w:p w14:paraId="0E635387" w14:textId="77777777" w:rsidR="008E5176" w:rsidRDefault="008E5176" w:rsidP="00922946">
      <w:pPr>
        <w:rPr>
          <w:rFonts w:eastAsia="Times New Roman"/>
        </w:rPr>
      </w:pPr>
    </w:p>
    <w:p w14:paraId="13880915" w14:textId="77777777" w:rsidR="00A6325B" w:rsidRDefault="00A6325B" w:rsidP="001A5078">
      <w:pPr>
        <w:pStyle w:val="Cit"/>
      </w:pPr>
      <w:r w:rsidRPr="00A6325B">
        <w:t>Benämningarna på den här typen av dialog skiljer sig mellan studierna, men vi uppfattar att det man</w:t>
      </w:r>
      <w:r w:rsidR="001A5078">
        <w:t xml:space="preserve"> </w:t>
      </w:r>
      <w:r w:rsidRPr="00A6325B">
        <w:t>talar om i samtliga fall har stora likheter</w:t>
      </w:r>
      <w:r w:rsidR="001A5078">
        <w:t xml:space="preserve">, och att begreppet utforskande </w:t>
      </w:r>
      <w:r w:rsidRPr="00A6325B">
        <w:t>samtal (exploratory</w:t>
      </w:r>
      <w:r w:rsidR="001A5078">
        <w:t xml:space="preserve"> </w:t>
      </w:r>
      <w:r w:rsidRPr="00A6325B">
        <w:t xml:space="preserve">talk) fångar in huvuddragen i det som avses. Vi har därför </w:t>
      </w:r>
      <w:r>
        <w:t>valt att använda detta begrepp.</w:t>
      </w:r>
      <w:r w:rsidR="001A5078">
        <w:t xml:space="preserve"> (9, n. 2)</w:t>
      </w:r>
    </w:p>
    <w:p w14:paraId="64D13674" w14:textId="77777777" w:rsidR="00A6325B" w:rsidRDefault="00A6325B" w:rsidP="00A6325B">
      <w:pPr>
        <w:rPr>
          <w:rFonts w:eastAsia="Times New Roman"/>
        </w:rPr>
      </w:pPr>
    </w:p>
    <w:p w14:paraId="4922F973" w14:textId="77777777" w:rsidR="008E5176" w:rsidRDefault="00AB31BD" w:rsidP="00A6325B">
      <w:pPr>
        <w:rPr>
          <w:rFonts w:eastAsia="Times New Roman"/>
        </w:rPr>
      </w:pPr>
      <w:r>
        <w:rPr>
          <w:rFonts w:eastAsia="Times New Roman"/>
        </w:rPr>
        <w:t xml:space="preserve">Noten avslutas med </w:t>
      </w:r>
      <w:r w:rsidR="006C2CD2">
        <w:rPr>
          <w:rFonts w:eastAsia="Times New Roman"/>
        </w:rPr>
        <w:t xml:space="preserve">två exempel på </w:t>
      </w:r>
      <w:r w:rsidR="00023EF9">
        <w:rPr>
          <w:rFonts w:eastAsia="Times New Roman"/>
        </w:rPr>
        <w:t xml:space="preserve">termer </w:t>
      </w:r>
      <w:r w:rsidR="006C2CD2">
        <w:rPr>
          <w:rFonts w:eastAsia="Times New Roman"/>
        </w:rPr>
        <w:t xml:space="preserve">som används i </w:t>
      </w:r>
      <w:r w:rsidR="00E96B8C">
        <w:rPr>
          <w:rFonts w:eastAsia="Times New Roman"/>
        </w:rPr>
        <w:t xml:space="preserve">andra studier, vilkas innebörd </w:t>
      </w:r>
      <w:r>
        <w:rPr>
          <w:rFonts w:eastAsia="Times New Roman"/>
        </w:rPr>
        <w:t xml:space="preserve">enligt </w:t>
      </w:r>
      <w:r w:rsidR="00E96B8C">
        <w:rPr>
          <w:rFonts w:eastAsia="Times New Roman"/>
        </w:rPr>
        <w:t>översikte</w:t>
      </w:r>
      <w:r>
        <w:rPr>
          <w:rFonts w:eastAsia="Times New Roman"/>
        </w:rPr>
        <w:t>ns författare sammanfaller</w:t>
      </w:r>
      <w:r w:rsidR="00E96B8C">
        <w:rPr>
          <w:rFonts w:eastAsia="Times New Roman"/>
        </w:rPr>
        <w:t xml:space="preserve"> med begreppet utforskande samtal. </w:t>
      </w:r>
      <w:r>
        <w:rPr>
          <w:rFonts w:eastAsia="Times New Roman"/>
        </w:rPr>
        <w:t xml:space="preserve">I huvudtexten </w:t>
      </w:r>
      <w:r w:rsidR="004B60BC">
        <w:rPr>
          <w:rFonts w:eastAsia="Times New Roman"/>
        </w:rPr>
        <w:t>introduceras därefter ytterligare ett begrepp</w:t>
      </w:r>
      <w:r w:rsidR="00947000">
        <w:rPr>
          <w:rFonts w:eastAsia="Times New Roman"/>
        </w:rPr>
        <w:t xml:space="preserve"> (IRE, en förkortning för initiering-respons-evaluering), hämtat</w:t>
      </w:r>
      <w:r w:rsidR="004B60BC">
        <w:rPr>
          <w:rFonts w:eastAsia="Times New Roman"/>
        </w:rPr>
        <w:t xml:space="preserve"> ur en av de ingående studierna</w:t>
      </w:r>
      <w:r w:rsidR="00947000">
        <w:rPr>
          <w:rFonts w:eastAsia="Times New Roman"/>
        </w:rPr>
        <w:t xml:space="preserve"> och</w:t>
      </w:r>
      <w:r w:rsidR="004B60BC">
        <w:rPr>
          <w:rFonts w:eastAsia="Times New Roman"/>
        </w:rPr>
        <w:t>, i likhet med disputerande och kumulativa samtal</w:t>
      </w:r>
      <w:r w:rsidR="00947000">
        <w:rPr>
          <w:rFonts w:eastAsia="Times New Roman"/>
        </w:rPr>
        <w:t>,</w:t>
      </w:r>
      <w:r w:rsidR="004B60BC">
        <w:rPr>
          <w:rFonts w:eastAsia="Times New Roman"/>
        </w:rPr>
        <w:t xml:space="preserve"> </w:t>
      </w:r>
      <w:r w:rsidR="00947000">
        <w:rPr>
          <w:rFonts w:eastAsia="Times New Roman"/>
        </w:rPr>
        <w:t>använt som beteckning för</w:t>
      </w:r>
      <w:r w:rsidR="004B60BC">
        <w:rPr>
          <w:rFonts w:eastAsia="Times New Roman"/>
        </w:rPr>
        <w:t xml:space="preserve"> en typ av klassrumsdialog som står i kontrast till utforskande samtal. I denna diskussion av ett antal begrepp och termer på resultatkapitlets första sidor formulerar författarna alltså en grundläggande begreppsram som </w:t>
      </w:r>
      <w:r w:rsidR="004C6A7E">
        <w:rPr>
          <w:rFonts w:eastAsia="Times New Roman"/>
        </w:rPr>
        <w:t>binder samman den litteratur som valts ut och utgör en utgångspunkt för det fortsatta resonemanget.</w:t>
      </w:r>
    </w:p>
    <w:p w14:paraId="5DC88D89" w14:textId="77777777" w:rsidR="008F0055" w:rsidRDefault="008F0055" w:rsidP="00A6325B">
      <w:pPr>
        <w:rPr>
          <w:rFonts w:eastAsia="Times New Roman"/>
        </w:rPr>
      </w:pPr>
    </w:p>
    <w:p w14:paraId="71EABC06" w14:textId="0B6D8FB7" w:rsidR="008F0055" w:rsidRDefault="008F0055" w:rsidP="00A6325B">
      <w:pPr>
        <w:rPr>
          <w:rFonts w:eastAsia="Times New Roman"/>
        </w:rPr>
      </w:pPr>
      <w:r>
        <w:rPr>
          <w:rFonts w:eastAsia="Times New Roman"/>
        </w:rPr>
        <w:t>I ett tidigt avsnitt beskriver författarna, med hänvisning till en studie de inte nämnt dessförinnan, fyra aspekter av klassrumsdialog som de kallar nyckelfaktorer. Faktorerna ifråga utgör kategorier som observatörer av samtalen kan använda för att förstå deras karaktär. Den första nyckelfaktorn är “</w:t>
      </w:r>
      <w:r w:rsidRPr="008F0055">
        <w:rPr>
          <w:rFonts w:eastAsia="Times New Roman"/>
        </w:rPr>
        <w:t xml:space="preserve">Vem som ställer frågor och </w:t>
      </w:r>
      <w:r>
        <w:rPr>
          <w:rFonts w:eastAsia="Times New Roman"/>
        </w:rPr>
        <w:t>vilken typ av frågor som ställs”</w:t>
      </w:r>
      <w:r w:rsidR="00EF2DA3">
        <w:rPr>
          <w:rFonts w:eastAsia="Times New Roman"/>
        </w:rPr>
        <w:t xml:space="preserve">; de övriga tre specificerar andra roller eller uppgifter som elever eller lärare kan ta ansvar för i dialogerna. </w:t>
      </w:r>
      <w:r w:rsidR="00640684">
        <w:rPr>
          <w:rFonts w:eastAsia="Times New Roman"/>
        </w:rPr>
        <w:t>Efter att exempel har givits på hur kategorierna i studien ifråga används för att beskriva interaktion mellan elever och lärare, inklusive förskjutningar i deras ansvar</w:t>
      </w:r>
      <w:r w:rsidR="00B00EDE">
        <w:rPr>
          <w:rFonts w:eastAsia="Times New Roman"/>
        </w:rPr>
        <w:t>s</w:t>
      </w:r>
      <w:r w:rsidR="00640684">
        <w:rPr>
          <w:rFonts w:eastAsia="Times New Roman"/>
        </w:rPr>
        <w:t xml:space="preserve">fördelning, introduceras ytterligare en studie, som enligt författarna lyfter fram en ny aspekt av en av de fyra nyckelfaktorerna. Med denna nya aspekt introduceras en distinktion mellan å ena sidan procedurer </w:t>
      </w:r>
      <w:r w:rsidR="00FD6267">
        <w:rPr>
          <w:rFonts w:eastAsia="Times New Roman"/>
        </w:rPr>
        <w:t xml:space="preserve">som kan följas </w:t>
      </w:r>
      <w:r w:rsidR="00640684">
        <w:rPr>
          <w:rFonts w:eastAsia="Times New Roman"/>
        </w:rPr>
        <w:t>för att lösa matematiska problem</w:t>
      </w:r>
      <w:r w:rsidR="00FD6267">
        <w:rPr>
          <w:rFonts w:eastAsia="Times New Roman"/>
        </w:rPr>
        <w:t>,</w:t>
      </w:r>
      <w:r w:rsidR="00640684">
        <w:rPr>
          <w:rFonts w:eastAsia="Times New Roman"/>
        </w:rPr>
        <w:t xml:space="preserve"> å andra sidan “själva matematiken</w:t>
      </w:r>
      <w:r w:rsidR="00146D78">
        <w:rPr>
          <w:rFonts w:eastAsia="Times New Roman"/>
        </w:rPr>
        <w:t>” (12). Denna distinktion ges stor betydelse i resten av kapitlet.</w:t>
      </w:r>
    </w:p>
    <w:p w14:paraId="553C2AAA" w14:textId="77777777" w:rsidR="008F0055" w:rsidRDefault="008F0055" w:rsidP="00A6325B">
      <w:pPr>
        <w:rPr>
          <w:rFonts w:eastAsia="Times New Roman"/>
        </w:rPr>
      </w:pPr>
    </w:p>
    <w:p w14:paraId="003D9899" w14:textId="77777777" w:rsidR="004609CE" w:rsidRDefault="00C1758B" w:rsidP="00A6325B">
      <w:pPr>
        <w:rPr>
          <w:rFonts w:eastAsia="Times New Roman"/>
        </w:rPr>
      </w:pPr>
      <w:r>
        <w:rPr>
          <w:rFonts w:eastAsia="Times New Roman"/>
        </w:rPr>
        <w:t xml:space="preserve">Efter att en initial, gradvis alltmer nyanserad bild av klassrumsdialoger </w:t>
      </w:r>
      <w:r w:rsidR="00FD6267">
        <w:rPr>
          <w:rFonts w:eastAsia="Times New Roman"/>
        </w:rPr>
        <w:t xml:space="preserve">har </w:t>
      </w:r>
      <w:r>
        <w:rPr>
          <w:rFonts w:eastAsia="Times New Roman"/>
        </w:rPr>
        <w:t xml:space="preserve">byggts upp förskjuts resonemangets fokus till olika interventioner med vilka lärare kan </w:t>
      </w:r>
      <w:r w:rsidR="00081D06">
        <w:rPr>
          <w:rFonts w:eastAsia="Times New Roman"/>
        </w:rPr>
        <w:t xml:space="preserve">styra samtalens karaktär i gynnsam riktning. </w:t>
      </w:r>
      <w:r w:rsidR="00DE700C">
        <w:rPr>
          <w:rFonts w:eastAsia="Times New Roman"/>
        </w:rPr>
        <w:t>Så snart de tagit detta steg skjuter författarna in ett förbehåll. “Vi vill betona”, säger de,</w:t>
      </w:r>
    </w:p>
    <w:p w14:paraId="5613DB14" w14:textId="77777777" w:rsidR="00DE700C" w:rsidRDefault="00DE700C" w:rsidP="00A6325B">
      <w:pPr>
        <w:rPr>
          <w:rFonts w:eastAsia="Times New Roman"/>
        </w:rPr>
      </w:pPr>
    </w:p>
    <w:p w14:paraId="52C882A1" w14:textId="77777777" w:rsidR="00DE700C" w:rsidRDefault="00DE700C" w:rsidP="00DE700C">
      <w:pPr>
        <w:pStyle w:val="Cit"/>
      </w:pPr>
      <w:r w:rsidRPr="00DE700C">
        <w:t>att forskningen inte kan erbjuda några enkla svar på vilka lärarhandlingar</w:t>
      </w:r>
      <w:r>
        <w:t xml:space="preserve"> </w:t>
      </w:r>
      <w:r w:rsidRPr="00DE700C">
        <w:t>som bidrar till att eleverna engager</w:t>
      </w:r>
      <w:r>
        <w:t xml:space="preserve">ar sig i utforskande samtal. Av </w:t>
      </w:r>
      <w:r w:rsidRPr="00DE700C">
        <w:t>studierna framgår</w:t>
      </w:r>
      <w:r>
        <w:t xml:space="preserve"> </w:t>
      </w:r>
      <w:r w:rsidRPr="00DE700C">
        <w:t>snarast att det inte är möjligt att komma med enkla anvisningar s</w:t>
      </w:r>
      <w:r>
        <w:t xml:space="preserve">om fungerar oavsett sammanhang. </w:t>
      </w:r>
      <w:r w:rsidRPr="00DE700C">
        <w:t>Fenomenet klassrumsdialog är alltför komplext.</w:t>
      </w:r>
      <w:r>
        <w:t xml:space="preserve"> (17)</w:t>
      </w:r>
    </w:p>
    <w:p w14:paraId="71484615" w14:textId="77777777" w:rsidR="00C1758B" w:rsidRDefault="00C1758B" w:rsidP="00A6325B">
      <w:pPr>
        <w:rPr>
          <w:rFonts w:eastAsia="Times New Roman"/>
        </w:rPr>
      </w:pPr>
    </w:p>
    <w:p w14:paraId="7CB58D89" w14:textId="77777777" w:rsidR="001468D1" w:rsidRDefault="00FA3D71" w:rsidP="00A6325B">
      <w:pPr>
        <w:rPr>
          <w:rFonts w:eastAsia="Times New Roman"/>
        </w:rPr>
      </w:pPr>
      <w:r>
        <w:rPr>
          <w:rFonts w:eastAsia="Times New Roman"/>
        </w:rPr>
        <w:t>Reservationen är bekant från det avsnitt om värdet av skol</w:t>
      </w:r>
      <w:r w:rsidRPr="00FA3D71">
        <w:rPr>
          <w:rFonts w:eastAsia="Times New Roman"/>
        </w:rPr>
        <w:t xml:space="preserve">forskning </w:t>
      </w:r>
      <w:r>
        <w:rPr>
          <w:rFonts w:eastAsia="Times New Roman"/>
        </w:rPr>
        <w:t xml:space="preserve">för lärare som i varje rapport från </w:t>
      </w:r>
      <w:r w:rsidRPr="00FA3D71">
        <w:rPr>
          <w:rFonts w:eastAsia="Times New Roman"/>
        </w:rPr>
        <w:t xml:space="preserve">Skolforskningsinstitutet </w:t>
      </w:r>
      <w:r>
        <w:rPr>
          <w:rFonts w:eastAsia="Times New Roman"/>
        </w:rPr>
        <w:t xml:space="preserve">har placerats direkt efter förordet. </w:t>
      </w:r>
      <w:r w:rsidR="0049422F">
        <w:rPr>
          <w:rFonts w:eastAsia="Times New Roman"/>
        </w:rPr>
        <w:t xml:space="preserve">Den diskussion som sedan följer kretsar kring handlingar och initiativ genom vilka lärare kan etablera och upprätthålla </w:t>
      </w:r>
      <w:r w:rsidR="0049422F" w:rsidRPr="0049422F">
        <w:rPr>
          <w:rFonts w:eastAsia="Times New Roman"/>
        </w:rPr>
        <w:t xml:space="preserve">sociala </w:t>
      </w:r>
      <w:r w:rsidR="0049422F">
        <w:rPr>
          <w:rFonts w:eastAsia="Times New Roman"/>
        </w:rPr>
        <w:t xml:space="preserve">normer som bereder väg för den utforskande typen av dialog. </w:t>
      </w:r>
      <w:r w:rsidR="00A25B8E">
        <w:rPr>
          <w:rFonts w:eastAsia="Times New Roman"/>
        </w:rPr>
        <w:t xml:space="preserve">Efter hand introduceras ett kontrasterande begrepp, sociomatematiska normer, vars relation till den </w:t>
      </w:r>
      <w:r w:rsidR="005231A2">
        <w:rPr>
          <w:rFonts w:eastAsia="Times New Roman"/>
        </w:rPr>
        <w:t>förstnämnda</w:t>
      </w:r>
      <w:r w:rsidR="00A25B8E">
        <w:rPr>
          <w:rFonts w:eastAsia="Times New Roman"/>
        </w:rPr>
        <w:t xml:space="preserve"> typen av normer svara</w:t>
      </w:r>
      <w:r w:rsidR="005231A2">
        <w:rPr>
          <w:rFonts w:eastAsia="Times New Roman"/>
        </w:rPr>
        <w:t>r</w:t>
      </w:r>
      <w:r w:rsidR="00A25B8E">
        <w:rPr>
          <w:rFonts w:eastAsia="Times New Roman"/>
        </w:rPr>
        <w:t xml:space="preserve"> mot ovan nämnda distinktion mellan procedurella frågor o</w:t>
      </w:r>
      <w:r w:rsidR="005E5F7B">
        <w:rPr>
          <w:rFonts w:eastAsia="Times New Roman"/>
        </w:rPr>
        <w:t xml:space="preserve">ch “själva matematiken”, eller </w:t>
      </w:r>
      <w:r w:rsidR="00A25B8E">
        <w:rPr>
          <w:rFonts w:eastAsia="Times New Roman"/>
        </w:rPr>
        <w:t xml:space="preserve">matematik </w:t>
      </w:r>
      <w:r w:rsidR="005E5F7B">
        <w:rPr>
          <w:rFonts w:eastAsia="Times New Roman"/>
        </w:rPr>
        <w:t>“</w:t>
      </w:r>
      <w:r w:rsidR="00A25B8E">
        <w:rPr>
          <w:rFonts w:eastAsia="Times New Roman"/>
        </w:rPr>
        <w:t xml:space="preserve">på ett </w:t>
      </w:r>
      <w:r w:rsidR="005E5F7B">
        <w:rPr>
          <w:rFonts w:eastAsia="Times New Roman"/>
        </w:rPr>
        <w:t xml:space="preserve">djupare plan” (25). </w:t>
      </w:r>
      <w:r w:rsidR="008B7FA8">
        <w:rPr>
          <w:rFonts w:eastAsia="Times New Roman"/>
        </w:rPr>
        <w:t xml:space="preserve">Ytterligare ett begrepp, föreslår författarna, “vidgande episoder”, </w:t>
      </w:r>
      <w:r w:rsidR="00D81960">
        <w:rPr>
          <w:rFonts w:eastAsia="Times New Roman"/>
        </w:rPr>
        <w:t xml:space="preserve">kan belysa </w:t>
      </w:r>
      <w:r w:rsidR="002D4EE2">
        <w:rPr>
          <w:rFonts w:eastAsia="Times New Roman"/>
        </w:rPr>
        <w:t xml:space="preserve">vad som kan uppnås med hjälp av </w:t>
      </w:r>
      <w:r w:rsidR="00097FE2">
        <w:rPr>
          <w:rFonts w:eastAsia="Times New Roman"/>
        </w:rPr>
        <w:t>sociomatematiska normer</w:t>
      </w:r>
      <w:r w:rsidR="002D4EE2">
        <w:rPr>
          <w:rFonts w:eastAsia="Times New Roman"/>
        </w:rPr>
        <w:t xml:space="preserve"> </w:t>
      </w:r>
      <w:r w:rsidR="00BD6149">
        <w:rPr>
          <w:rFonts w:eastAsia="Times New Roman"/>
        </w:rPr>
        <w:t>(loc. cit.).</w:t>
      </w:r>
      <w:r w:rsidR="00602077">
        <w:rPr>
          <w:rFonts w:eastAsia="Times New Roman"/>
        </w:rPr>
        <w:t xml:space="preserve"> Senare introduceras komplikationen att den utforskande typen av dialog inte är ändamålsenlig i alla situationer, och resultat och begrepp från olika studier vävs samman i ett resonemang om </w:t>
      </w:r>
      <w:r w:rsidR="00A05DB2">
        <w:rPr>
          <w:rFonts w:eastAsia="Times New Roman"/>
        </w:rPr>
        <w:t xml:space="preserve">faser i undervisningen då lärare bör göra andra prioriteringar. Genom hela kapitlet illustreras resonemanget </w:t>
      </w:r>
      <w:r w:rsidR="003F0395">
        <w:rPr>
          <w:rFonts w:eastAsia="Times New Roman"/>
        </w:rPr>
        <w:t xml:space="preserve">med utdrag ur samtal som dokumenterats </w:t>
      </w:r>
      <w:r w:rsidR="00D81960">
        <w:rPr>
          <w:rFonts w:eastAsia="Times New Roman"/>
        </w:rPr>
        <w:t>i primär</w:t>
      </w:r>
      <w:r w:rsidR="003F0395">
        <w:rPr>
          <w:rFonts w:eastAsia="Times New Roman"/>
        </w:rPr>
        <w:t>studierna</w:t>
      </w:r>
      <w:r w:rsidR="001468D1">
        <w:rPr>
          <w:rFonts w:eastAsia="Times New Roman"/>
        </w:rPr>
        <w:t>.</w:t>
      </w:r>
    </w:p>
    <w:p w14:paraId="5C03AEFD" w14:textId="77777777" w:rsidR="00214B77" w:rsidRDefault="00214B77" w:rsidP="00A6325B">
      <w:pPr>
        <w:rPr>
          <w:rFonts w:eastAsia="Times New Roman"/>
        </w:rPr>
      </w:pPr>
    </w:p>
    <w:p w14:paraId="145D013F" w14:textId="77777777" w:rsidR="00214B77" w:rsidRPr="000B384D" w:rsidRDefault="005A22CC" w:rsidP="00A6325B">
      <w:pPr>
        <w:rPr>
          <w:rFonts w:eastAsia="Times New Roman"/>
          <w:i/>
        </w:rPr>
      </w:pPr>
      <w:r w:rsidRPr="000B384D">
        <w:rPr>
          <w:rFonts w:eastAsia="Times New Roman"/>
          <w:i/>
        </w:rPr>
        <w:t>Metod</w:t>
      </w:r>
      <w:r w:rsidR="000E0F3B" w:rsidRPr="000B384D">
        <w:rPr>
          <w:rFonts w:eastAsia="Times New Roman"/>
          <w:i/>
        </w:rPr>
        <w:t>ologi</w:t>
      </w:r>
    </w:p>
    <w:p w14:paraId="4F057F7D" w14:textId="77777777" w:rsidR="005A22CC" w:rsidRDefault="005A22CC" w:rsidP="00A6325B">
      <w:pPr>
        <w:rPr>
          <w:rFonts w:eastAsia="Times New Roman"/>
        </w:rPr>
      </w:pPr>
    </w:p>
    <w:p w14:paraId="20F8C1B1" w14:textId="77777777" w:rsidR="00F06C01" w:rsidRDefault="0030527A" w:rsidP="00F06C01">
      <w:pPr>
        <w:rPr>
          <w:rFonts w:eastAsia="Times New Roman"/>
        </w:rPr>
      </w:pPr>
      <w:r>
        <w:rPr>
          <w:rFonts w:eastAsia="Times New Roman"/>
        </w:rPr>
        <w:t xml:space="preserve">Metodkapitlet ger en beskrivning av hur litteratursökningen genomförts, och specificerar de inklusions- och exklusionskriterier som tillämpats. Av den redogörelse som ges för relevans- och kvalitetsgranskningen framgår att de externa </w:t>
      </w:r>
      <w:r w:rsidRPr="0030527A">
        <w:rPr>
          <w:rFonts w:eastAsia="Times New Roman"/>
        </w:rPr>
        <w:t xml:space="preserve">forskarna </w:t>
      </w:r>
      <w:r>
        <w:rPr>
          <w:rFonts w:eastAsia="Times New Roman"/>
        </w:rPr>
        <w:t>tagit ett stor</w:t>
      </w:r>
      <w:r w:rsidR="00B00EDE">
        <w:rPr>
          <w:rFonts w:eastAsia="Times New Roman"/>
        </w:rPr>
        <w:t>t</w:t>
      </w:r>
      <w:r>
        <w:rPr>
          <w:rFonts w:eastAsia="Times New Roman"/>
        </w:rPr>
        <w:t xml:space="preserve"> ansvar för dessa s</w:t>
      </w:r>
      <w:r w:rsidR="003C7DB3">
        <w:rPr>
          <w:rFonts w:eastAsia="Times New Roman"/>
        </w:rPr>
        <w:t xml:space="preserve">teg i processen (53-54). </w:t>
      </w:r>
      <w:r w:rsidR="00BE2293">
        <w:rPr>
          <w:rFonts w:eastAsia="Times New Roman"/>
        </w:rPr>
        <w:t xml:space="preserve">Ett dokument med kriterier för bedömningen av </w:t>
      </w:r>
      <w:r w:rsidR="00BE2293" w:rsidRPr="00BE2293">
        <w:rPr>
          <w:rFonts w:eastAsia="Times New Roman"/>
        </w:rPr>
        <w:t xml:space="preserve">kvalitet </w:t>
      </w:r>
      <w:r w:rsidR="00BE2293">
        <w:rPr>
          <w:rFonts w:eastAsia="Times New Roman"/>
        </w:rPr>
        <w:t xml:space="preserve">är tillgängligt i Bilaga 3. Detta bedömningsstöd sammanfaller </w:t>
      </w:r>
      <w:r w:rsidR="00130F2A">
        <w:rPr>
          <w:rFonts w:eastAsia="Times New Roman"/>
        </w:rPr>
        <w:t xml:space="preserve">delvis </w:t>
      </w:r>
      <w:r w:rsidR="00BE2293">
        <w:rPr>
          <w:rFonts w:eastAsia="Times New Roman"/>
        </w:rPr>
        <w:t xml:space="preserve">med det som har använts i översikten om lärresurser, </w:t>
      </w:r>
      <w:r w:rsidR="00130F2A">
        <w:rPr>
          <w:rFonts w:eastAsia="Times New Roman"/>
        </w:rPr>
        <w:t>och</w:t>
      </w:r>
      <w:r w:rsidR="00BE2293">
        <w:rPr>
          <w:rFonts w:eastAsia="Times New Roman"/>
        </w:rPr>
        <w:t xml:space="preserve"> även här ingår kriterier för såväl </w:t>
      </w:r>
      <w:r w:rsidR="00BE2293" w:rsidRPr="00BE2293">
        <w:rPr>
          <w:rFonts w:eastAsia="Times New Roman"/>
        </w:rPr>
        <w:t xml:space="preserve">kvantitativ </w:t>
      </w:r>
      <w:r w:rsidR="00BE2293">
        <w:rPr>
          <w:rFonts w:eastAsia="Times New Roman"/>
        </w:rPr>
        <w:t xml:space="preserve">som </w:t>
      </w:r>
      <w:r w:rsidR="00BE2293" w:rsidRPr="00BE2293">
        <w:rPr>
          <w:rFonts w:eastAsia="Times New Roman"/>
        </w:rPr>
        <w:t xml:space="preserve">kvalitativ </w:t>
      </w:r>
      <w:r w:rsidR="00BE2293">
        <w:rPr>
          <w:rFonts w:eastAsia="Times New Roman"/>
        </w:rPr>
        <w:t>forskning</w:t>
      </w:r>
      <w:r w:rsidR="00170510">
        <w:rPr>
          <w:rFonts w:eastAsia="Times New Roman"/>
        </w:rPr>
        <w:t xml:space="preserve">; det kan alltså röra sig om två olika versioner av ett dokument avsett att användas i institutets kommande </w:t>
      </w:r>
      <w:r w:rsidR="00170510" w:rsidRPr="00170510">
        <w:rPr>
          <w:rFonts w:eastAsia="Times New Roman"/>
        </w:rPr>
        <w:t>översik</w:t>
      </w:r>
      <w:r w:rsidR="00170510">
        <w:rPr>
          <w:rFonts w:eastAsia="Times New Roman"/>
        </w:rPr>
        <w:t>ter</w:t>
      </w:r>
      <w:r w:rsidR="00BE2293">
        <w:rPr>
          <w:rFonts w:eastAsia="Times New Roman"/>
        </w:rPr>
        <w:t xml:space="preserve">. </w:t>
      </w:r>
      <w:r w:rsidR="008951B4">
        <w:rPr>
          <w:rFonts w:eastAsia="Times New Roman"/>
        </w:rPr>
        <w:t>De två forskarna har, som jag kort nämnde</w:t>
      </w:r>
      <w:r w:rsidR="00425682">
        <w:rPr>
          <w:rFonts w:eastAsia="Times New Roman"/>
        </w:rPr>
        <w:t xml:space="preserve"> i ett tidigare avsnitt</w:t>
      </w:r>
      <w:r w:rsidR="008951B4">
        <w:rPr>
          <w:rFonts w:eastAsia="Times New Roman"/>
        </w:rPr>
        <w:t>,</w:t>
      </w:r>
      <w:r w:rsidR="00425682">
        <w:rPr>
          <w:rFonts w:eastAsia="Times New Roman"/>
        </w:rPr>
        <w:t xml:space="preserve"> </w:t>
      </w:r>
      <w:r w:rsidR="008951B4">
        <w:rPr>
          <w:rFonts w:eastAsia="Times New Roman"/>
        </w:rPr>
        <w:t xml:space="preserve">även stått för en stor del av arbetet med </w:t>
      </w:r>
      <w:r w:rsidR="00B80EB6">
        <w:rPr>
          <w:rFonts w:eastAsia="Times New Roman"/>
        </w:rPr>
        <w:t xml:space="preserve">resultatextraktion och själva syntesen. </w:t>
      </w:r>
      <w:r w:rsidR="008951B4">
        <w:rPr>
          <w:rFonts w:eastAsia="Times New Roman"/>
        </w:rPr>
        <w:t xml:space="preserve">Forskarna uppges ha skrivit </w:t>
      </w:r>
      <w:r w:rsidR="00F06C01">
        <w:rPr>
          <w:rFonts w:eastAsia="Times New Roman"/>
        </w:rPr>
        <w:t>“</w:t>
      </w:r>
      <w:r w:rsidR="00F06C01" w:rsidRPr="00F06C01">
        <w:rPr>
          <w:rFonts w:eastAsia="Times New Roman"/>
        </w:rPr>
        <w:t>sammanfattningar</w:t>
      </w:r>
      <w:r w:rsidR="00F06C01">
        <w:rPr>
          <w:rFonts w:eastAsia="Times New Roman"/>
        </w:rPr>
        <w:t xml:space="preserve"> av resultaten i varje studie”, vilka därefter</w:t>
      </w:r>
    </w:p>
    <w:p w14:paraId="022B70A2" w14:textId="77777777" w:rsidR="00F06C01" w:rsidRDefault="00F06C01" w:rsidP="00F06C01">
      <w:pPr>
        <w:rPr>
          <w:rFonts w:eastAsia="Times New Roman"/>
        </w:rPr>
      </w:pPr>
    </w:p>
    <w:p w14:paraId="578C9559" w14:textId="77777777" w:rsidR="00F06C01" w:rsidRDefault="00F06C01" w:rsidP="00F06C01">
      <w:pPr>
        <w:pStyle w:val="Cit"/>
      </w:pPr>
      <w:r>
        <w:lastRenderedPageBreak/>
        <w:t xml:space="preserve">fungerade som </w:t>
      </w:r>
      <w:r w:rsidRPr="00F06C01">
        <w:t>vägledning för</w:t>
      </w:r>
      <w:r>
        <w:t xml:space="preserve"> projektgruppens </w:t>
      </w:r>
      <w:r w:rsidRPr="00F06C01">
        <w:t>förståelse av resultaten i de enskilda studierna.</w:t>
      </w:r>
      <w:r>
        <w:t xml:space="preserve"> (55)</w:t>
      </w:r>
    </w:p>
    <w:p w14:paraId="474A4E67" w14:textId="77777777" w:rsidR="00F06C01" w:rsidRDefault="00F06C01" w:rsidP="00F06C01">
      <w:pPr>
        <w:rPr>
          <w:rFonts w:eastAsia="Times New Roman"/>
        </w:rPr>
      </w:pPr>
    </w:p>
    <w:p w14:paraId="08AE9273" w14:textId="77777777" w:rsidR="00F06C01" w:rsidRDefault="006D2ADC" w:rsidP="00F06C01">
      <w:pPr>
        <w:rPr>
          <w:rFonts w:eastAsia="Times New Roman"/>
        </w:rPr>
      </w:pPr>
      <w:r>
        <w:rPr>
          <w:rFonts w:eastAsia="Times New Roman"/>
        </w:rPr>
        <w:t>Huruvida de sammanfattningar som här nämns är de kortfattade som samlats i Bilaga 1</w:t>
      </w:r>
      <w:r w:rsidR="00185CD7">
        <w:rPr>
          <w:rFonts w:eastAsia="Times New Roman"/>
        </w:rPr>
        <w:t xml:space="preserve">, eller utgjorde mer substantiella </w:t>
      </w:r>
      <w:r w:rsidR="00AF018D">
        <w:rPr>
          <w:rFonts w:eastAsia="Times New Roman"/>
        </w:rPr>
        <w:t>redogörelser</w:t>
      </w:r>
      <w:r w:rsidR="00185CD7">
        <w:rPr>
          <w:rFonts w:eastAsia="Times New Roman"/>
        </w:rPr>
        <w:t xml:space="preserve">, framgår inte. </w:t>
      </w:r>
      <w:r w:rsidR="00AF018D">
        <w:rPr>
          <w:rFonts w:eastAsia="Times New Roman"/>
        </w:rPr>
        <w:t>Efter att ha diskute</w:t>
      </w:r>
      <w:r w:rsidR="00B00EDE">
        <w:rPr>
          <w:rFonts w:eastAsia="Times New Roman"/>
        </w:rPr>
        <w:t>r</w:t>
      </w:r>
      <w:r w:rsidR="00AF018D">
        <w:rPr>
          <w:rFonts w:eastAsia="Times New Roman"/>
        </w:rPr>
        <w:t xml:space="preserve">at sina tolkningar av studierna med projektgruppen </w:t>
      </w:r>
      <w:r w:rsidR="000064CC">
        <w:rPr>
          <w:rFonts w:eastAsia="Times New Roman"/>
        </w:rPr>
        <w:t>tog</w:t>
      </w:r>
      <w:r w:rsidR="00AF018D">
        <w:rPr>
          <w:rFonts w:eastAsia="Times New Roman"/>
        </w:rPr>
        <w:t xml:space="preserve"> </w:t>
      </w:r>
      <w:r w:rsidR="00AF018D" w:rsidRPr="00AF018D">
        <w:rPr>
          <w:rFonts w:eastAsia="Times New Roman"/>
        </w:rPr>
        <w:t xml:space="preserve">forskarna </w:t>
      </w:r>
      <w:r w:rsidR="00AF018D">
        <w:rPr>
          <w:rFonts w:eastAsia="Times New Roman"/>
        </w:rPr>
        <w:t xml:space="preserve">hur som helst </w:t>
      </w:r>
      <w:r w:rsidR="000064CC">
        <w:rPr>
          <w:rFonts w:eastAsia="Times New Roman"/>
        </w:rPr>
        <w:t xml:space="preserve">ansvar för att utarbeta en möjlig </w:t>
      </w:r>
      <w:r w:rsidR="00AF018D">
        <w:rPr>
          <w:rFonts w:eastAsia="Times New Roman"/>
        </w:rPr>
        <w:t>“struktur” för syntesen</w:t>
      </w:r>
      <w:r w:rsidR="000064CC">
        <w:rPr>
          <w:rFonts w:eastAsia="Times New Roman"/>
        </w:rPr>
        <w:t>, som låg till grund för det fortsatta arbetet:</w:t>
      </w:r>
    </w:p>
    <w:p w14:paraId="2C34EEC4" w14:textId="77777777" w:rsidR="000064CC" w:rsidRDefault="000064CC" w:rsidP="00F06C01">
      <w:pPr>
        <w:rPr>
          <w:rFonts w:eastAsia="Times New Roman"/>
        </w:rPr>
      </w:pPr>
    </w:p>
    <w:p w14:paraId="05B89665" w14:textId="77777777" w:rsidR="000064CC" w:rsidRDefault="001805BD" w:rsidP="00CC4A67">
      <w:pPr>
        <w:pStyle w:val="Cit"/>
      </w:pPr>
      <w:r w:rsidRPr="001805BD">
        <w:t>De externa forskarnas sammanfattningar</w:t>
      </w:r>
      <w:r>
        <w:t xml:space="preserve"> </w:t>
      </w:r>
      <w:r w:rsidRPr="001805BD">
        <w:t>och förslag på sammanställning var seda</w:t>
      </w:r>
      <w:r>
        <w:t xml:space="preserve">n vägledande i den resultattext </w:t>
      </w:r>
      <w:r w:rsidRPr="001805BD">
        <w:t>som projektledaren</w:t>
      </w:r>
      <w:r>
        <w:t xml:space="preserve"> </w:t>
      </w:r>
      <w:r w:rsidRPr="001805BD">
        <w:t xml:space="preserve">skrev i samarbete med projektgruppen. De </w:t>
      </w:r>
      <w:r>
        <w:t xml:space="preserve">externa forskarna läste och gav </w:t>
      </w:r>
      <w:r w:rsidRPr="001805BD">
        <w:t>respons på textskisser vid två tillfällen.</w:t>
      </w:r>
      <w:r>
        <w:t xml:space="preserve"> (55)</w:t>
      </w:r>
    </w:p>
    <w:p w14:paraId="156E5538" w14:textId="77777777" w:rsidR="000064CC" w:rsidRDefault="000064CC" w:rsidP="00F06C01">
      <w:pPr>
        <w:rPr>
          <w:rFonts w:eastAsia="Times New Roman"/>
        </w:rPr>
      </w:pPr>
    </w:p>
    <w:p w14:paraId="44C8057B" w14:textId="77777777" w:rsidR="004C0E10" w:rsidRDefault="00682021" w:rsidP="004C0E10">
      <w:pPr>
        <w:rPr>
          <w:rFonts w:eastAsia="Times New Roman"/>
        </w:rPr>
      </w:pPr>
      <w:r>
        <w:rPr>
          <w:rFonts w:eastAsia="Times New Roman"/>
        </w:rPr>
        <w:t xml:space="preserve">Den </w:t>
      </w:r>
      <w:r w:rsidR="00B21B4B">
        <w:rPr>
          <w:rFonts w:eastAsia="Times New Roman"/>
        </w:rPr>
        <w:t>sammanställning</w:t>
      </w:r>
      <w:r w:rsidR="00F96F5B">
        <w:rPr>
          <w:rFonts w:eastAsia="Times New Roman"/>
        </w:rPr>
        <w:t xml:space="preserve"> av studiernas </w:t>
      </w:r>
      <w:r w:rsidR="00462864">
        <w:rPr>
          <w:rFonts w:eastAsia="Times New Roman"/>
        </w:rPr>
        <w:t xml:space="preserve">innehåll som arbetet resulterat </w:t>
      </w:r>
      <w:r w:rsidR="00B21B4B">
        <w:rPr>
          <w:rFonts w:eastAsia="Times New Roman"/>
        </w:rPr>
        <w:t xml:space="preserve">i sägs följa en </w:t>
      </w:r>
      <w:r>
        <w:rPr>
          <w:rFonts w:eastAsia="Times New Roman"/>
        </w:rPr>
        <w:t>“konfigurativ logik”</w:t>
      </w:r>
      <w:r w:rsidR="00462864">
        <w:rPr>
          <w:rFonts w:eastAsia="Times New Roman"/>
        </w:rPr>
        <w:t xml:space="preserve">, </w:t>
      </w:r>
      <w:r w:rsidR="00B21B4B">
        <w:rPr>
          <w:rFonts w:eastAsia="Times New Roman"/>
        </w:rPr>
        <w:t xml:space="preserve">varpå </w:t>
      </w:r>
      <w:r>
        <w:rPr>
          <w:rFonts w:eastAsia="Times New Roman"/>
        </w:rPr>
        <w:t xml:space="preserve">hänvisningar </w:t>
      </w:r>
      <w:r w:rsidR="00B21B4B">
        <w:rPr>
          <w:rFonts w:eastAsia="Times New Roman"/>
        </w:rPr>
        <w:t xml:space="preserve">ges </w:t>
      </w:r>
      <w:r>
        <w:rPr>
          <w:rFonts w:eastAsia="Times New Roman"/>
        </w:rPr>
        <w:t>till en artikel av David Gough och James Thomas och till ett par texter av Sandelowski med medarbetare</w:t>
      </w:r>
      <w:r w:rsidR="00462864">
        <w:rPr>
          <w:rFonts w:eastAsia="Times New Roman"/>
        </w:rPr>
        <w:t xml:space="preserve"> (49, 55). I det korta avsnitt i vilket den metod som tillämpats beskrivs på ett mer övergripande plan nämns dessutom Noblit och Hare flera gång</w:t>
      </w:r>
      <w:r w:rsidR="00B21B4B">
        <w:rPr>
          <w:rFonts w:eastAsia="Times New Roman"/>
        </w:rPr>
        <w:t>er;</w:t>
      </w:r>
      <w:r w:rsidR="004C0E10">
        <w:rPr>
          <w:rFonts w:eastAsia="Times New Roman"/>
        </w:rPr>
        <w:t xml:space="preserve"> </w:t>
      </w:r>
      <w:r w:rsidR="00B21B4B">
        <w:rPr>
          <w:rFonts w:eastAsia="Times New Roman"/>
        </w:rPr>
        <w:t xml:space="preserve">författarna </w:t>
      </w:r>
      <w:r w:rsidR="004C0E10">
        <w:rPr>
          <w:rFonts w:eastAsia="Times New Roman"/>
        </w:rPr>
        <w:t>förklarar bl a att deras metod</w:t>
      </w:r>
    </w:p>
    <w:p w14:paraId="48872C1B" w14:textId="77777777" w:rsidR="004C0E10" w:rsidRDefault="004C0E10" w:rsidP="004C0E10">
      <w:pPr>
        <w:rPr>
          <w:rFonts w:eastAsia="Times New Roman"/>
        </w:rPr>
      </w:pPr>
    </w:p>
    <w:p w14:paraId="04B3DB48" w14:textId="77777777" w:rsidR="00462864" w:rsidRDefault="004C0E10" w:rsidP="004C0E10">
      <w:pPr>
        <w:pStyle w:val="Cit"/>
      </w:pPr>
      <w:r>
        <w:t xml:space="preserve">är inspirerad </w:t>
      </w:r>
      <w:r w:rsidRPr="004C0E10">
        <w:t>av metaetnografi och det som Noblit och Hare (1988) benämner ”line of argument”.</w:t>
      </w:r>
      <w:r>
        <w:t xml:space="preserve"> (55)</w:t>
      </w:r>
    </w:p>
    <w:p w14:paraId="02F019F9" w14:textId="77777777" w:rsidR="00F96F5B" w:rsidRDefault="00F96F5B" w:rsidP="00F06C01">
      <w:pPr>
        <w:rPr>
          <w:rFonts w:eastAsia="Times New Roman"/>
        </w:rPr>
      </w:pPr>
    </w:p>
    <w:p w14:paraId="50211D81" w14:textId="77777777" w:rsidR="00F96F5B" w:rsidRDefault="00670FA7" w:rsidP="00FF7DF1">
      <w:pPr>
        <w:rPr>
          <w:rFonts w:eastAsia="Times New Roman"/>
        </w:rPr>
      </w:pPr>
      <w:r>
        <w:rPr>
          <w:rFonts w:eastAsia="Times New Roman"/>
        </w:rPr>
        <w:t xml:space="preserve">Beskrivningen av översiktens uppbyggnad i termer av konfigurerande är träffande. </w:t>
      </w:r>
      <w:r w:rsidR="00FF7DF1">
        <w:rPr>
          <w:rFonts w:eastAsia="Times New Roman"/>
        </w:rPr>
        <w:t xml:space="preserve">I litteraturen om syntes syftar begreppet </w:t>
      </w:r>
      <w:r w:rsidR="005C1584">
        <w:rPr>
          <w:rFonts w:eastAsia="Times New Roman"/>
        </w:rPr>
        <w:t xml:space="preserve">konfigurering just på </w:t>
      </w:r>
      <w:r w:rsidR="00FF7DF1">
        <w:rPr>
          <w:rFonts w:eastAsia="Times New Roman"/>
        </w:rPr>
        <w:t xml:space="preserve">den typ av </w:t>
      </w:r>
      <w:r w:rsidR="005C1584">
        <w:rPr>
          <w:rFonts w:eastAsia="Times New Roman"/>
        </w:rPr>
        <w:t xml:space="preserve">tolkningar av och kopplingar mellan teman, begrepp, idéer och empiriska exempel i olika studier som är kännetecknande för den analys som redovisas i denna översikt. </w:t>
      </w:r>
      <w:r w:rsidR="004D0C8D">
        <w:rPr>
          <w:rFonts w:eastAsia="Times New Roman"/>
        </w:rPr>
        <w:t xml:space="preserve">Noblit och Hares begrepp översättning hade </w:t>
      </w:r>
      <w:r w:rsidR="00FF7DF1">
        <w:rPr>
          <w:rFonts w:eastAsia="Times New Roman"/>
        </w:rPr>
        <w:t>också kunnat användas i sammanhanget</w:t>
      </w:r>
      <w:r w:rsidR="004D0C8D">
        <w:rPr>
          <w:rFonts w:eastAsia="Times New Roman"/>
        </w:rPr>
        <w:t>. Med line</w:t>
      </w:r>
      <w:r w:rsidR="00574E74">
        <w:rPr>
          <w:rFonts w:eastAsia="Times New Roman"/>
        </w:rPr>
        <w:t>s</w:t>
      </w:r>
      <w:r w:rsidR="004D0C8D">
        <w:rPr>
          <w:rFonts w:eastAsia="Times New Roman"/>
        </w:rPr>
        <w:t xml:space="preserve"> of argument-syntes avsåg meta-etnografins upphovsmän </w:t>
      </w:r>
      <w:r w:rsidR="00FF7DF1">
        <w:rPr>
          <w:rFonts w:eastAsia="Times New Roman"/>
        </w:rPr>
        <w:t>däremot</w:t>
      </w:r>
      <w:r w:rsidR="004D0C8D">
        <w:rPr>
          <w:rFonts w:eastAsia="Times New Roman"/>
        </w:rPr>
        <w:t xml:space="preserve"> ett annat tillvägagångssätt. </w:t>
      </w:r>
      <w:r w:rsidR="005772B4">
        <w:rPr>
          <w:rFonts w:eastAsia="Times New Roman"/>
        </w:rPr>
        <w:t xml:space="preserve">Som </w:t>
      </w:r>
      <w:r w:rsidR="00FF7DF1">
        <w:rPr>
          <w:rFonts w:eastAsia="Times New Roman"/>
        </w:rPr>
        <w:t>f</w:t>
      </w:r>
      <w:r w:rsidR="00B00EDE">
        <w:rPr>
          <w:rFonts w:eastAsia="Times New Roman"/>
        </w:rPr>
        <w:t>r</w:t>
      </w:r>
      <w:r w:rsidR="00FF7DF1">
        <w:rPr>
          <w:rFonts w:eastAsia="Times New Roman"/>
        </w:rPr>
        <w:t xml:space="preserve">amgick av </w:t>
      </w:r>
      <w:r w:rsidR="005772B4">
        <w:rPr>
          <w:rFonts w:eastAsia="Times New Roman"/>
        </w:rPr>
        <w:t xml:space="preserve">ett tidigare avsnitt </w:t>
      </w:r>
      <w:r w:rsidR="00FF7DF1">
        <w:rPr>
          <w:rFonts w:eastAsia="Times New Roman"/>
        </w:rPr>
        <w:t>i föreliggande rapport definierar Noblit och Hare lines of a</w:t>
      </w:r>
      <w:r w:rsidR="00894981">
        <w:rPr>
          <w:rFonts w:eastAsia="Times New Roman"/>
        </w:rPr>
        <w:t>rgument som en typ av i syntes</w:t>
      </w:r>
      <w:r w:rsidR="00FF7DF1">
        <w:rPr>
          <w:rFonts w:eastAsia="Times New Roman"/>
        </w:rPr>
        <w:t xml:space="preserve"> som </w:t>
      </w:r>
      <w:r w:rsidR="00894981">
        <w:rPr>
          <w:rFonts w:eastAsia="Times New Roman"/>
        </w:rPr>
        <w:t xml:space="preserve">inbegriper två </w:t>
      </w:r>
      <w:r w:rsidR="00140395">
        <w:rPr>
          <w:rFonts w:eastAsia="Times New Roman"/>
        </w:rPr>
        <w:t>distinkta faser</w:t>
      </w:r>
      <w:r w:rsidR="00894981">
        <w:rPr>
          <w:rFonts w:eastAsia="Times New Roman"/>
        </w:rPr>
        <w:t>; i ett första steg översätts studier i varandras termer, i nästa steg görs slutledningar som innebär att mönster framträder som inte beskrivs i primärstudierna. Den syntes som presenteras i översikten om klassrumsdialog är mycket väl genomförd, och det omsorgsfulla sammanlänkandet av begrepp och teman</w:t>
      </w:r>
      <w:r w:rsidR="00F30945">
        <w:rPr>
          <w:rFonts w:eastAsia="Times New Roman"/>
        </w:rPr>
        <w:t xml:space="preserve"> ur skilda studier kan i någon mening betraktas som teoriutveckling. Författarna </w:t>
      </w:r>
      <w:r w:rsidR="0072258E">
        <w:rPr>
          <w:rFonts w:eastAsia="Times New Roman"/>
        </w:rPr>
        <w:t>jämför</w:t>
      </w:r>
      <w:r w:rsidR="00F30945">
        <w:rPr>
          <w:rFonts w:eastAsia="Times New Roman"/>
        </w:rPr>
        <w:t xml:space="preserve"> </w:t>
      </w:r>
      <w:r w:rsidR="0004344F">
        <w:rPr>
          <w:rFonts w:eastAsia="Times New Roman"/>
        </w:rPr>
        <w:t xml:space="preserve">sammanställandet </w:t>
      </w:r>
      <w:r w:rsidR="00140395">
        <w:rPr>
          <w:rFonts w:eastAsia="Times New Roman"/>
        </w:rPr>
        <w:t>med</w:t>
      </w:r>
      <w:r w:rsidR="0004344F">
        <w:rPr>
          <w:rFonts w:eastAsia="Times New Roman"/>
        </w:rPr>
        <w:t xml:space="preserve"> en mosaik</w:t>
      </w:r>
      <w:r w:rsidR="00196FA4">
        <w:rPr>
          <w:rFonts w:eastAsia="Times New Roman"/>
        </w:rPr>
        <w:t xml:space="preserve"> (56)</w:t>
      </w:r>
      <w:r w:rsidR="0004344F">
        <w:rPr>
          <w:rFonts w:eastAsia="Times New Roman"/>
        </w:rPr>
        <w:t>,</w:t>
      </w:r>
      <w:r w:rsidR="00F30945">
        <w:rPr>
          <w:rFonts w:eastAsia="Times New Roman"/>
        </w:rPr>
        <w:t xml:space="preserve"> en meta</w:t>
      </w:r>
      <w:r w:rsidR="0004344F">
        <w:rPr>
          <w:rFonts w:eastAsia="Times New Roman"/>
        </w:rPr>
        <w:t xml:space="preserve">for som </w:t>
      </w:r>
      <w:r w:rsidR="00EE73D3">
        <w:rPr>
          <w:rFonts w:eastAsia="Times New Roman"/>
        </w:rPr>
        <w:t xml:space="preserve">inte är långsökt </w:t>
      </w:r>
      <w:r w:rsidR="00196FA4">
        <w:rPr>
          <w:rFonts w:eastAsia="Times New Roman"/>
        </w:rPr>
        <w:t xml:space="preserve">men vars innebörd inte är särskilt </w:t>
      </w:r>
      <w:r w:rsidR="00196FA4">
        <w:rPr>
          <w:rFonts w:eastAsia="Times New Roman"/>
        </w:rPr>
        <w:lastRenderedPageBreak/>
        <w:t>klar</w:t>
      </w:r>
      <w:r w:rsidR="0004344F">
        <w:rPr>
          <w:rFonts w:eastAsia="Times New Roman"/>
        </w:rPr>
        <w:t>.</w:t>
      </w:r>
      <w:r w:rsidR="0072258E">
        <w:rPr>
          <w:rStyle w:val="Fotnotsreferens"/>
          <w:rFonts w:eastAsia="Times New Roman"/>
        </w:rPr>
        <w:footnoteReference w:id="5"/>
      </w:r>
      <w:r w:rsidR="00F30945">
        <w:rPr>
          <w:rFonts w:eastAsia="Times New Roman"/>
        </w:rPr>
        <w:t xml:space="preserve"> </w:t>
      </w:r>
      <w:r w:rsidR="0004344F">
        <w:rPr>
          <w:rFonts w:eastAsia="Times New Roman"/>
        </w:rPr>
        <w:t xml:space="preserve">Vilken </w:t>
      </w:r>
      <w:r w:rsidR="00F30945">
        <w:rPr>
          <w:rFonts w:eastAsia="Times New Roman"/>
        </w:rPr>
        <w:t>innebörd</w:t>
      </w:r>
      <w:r w:rsidR="0004344F">
        <w:rPr>
          <w:rFonts w:eastAsia="Times New Roman"/>
        </w:rPr>
        <w:t xml:space="preserve"> man än </w:t>
      </w:r>
      <w:r w:rsidR="005550E6">
        <w:rPr>
          <w:rFonts w:eastAsia="Times New Roman"/>
        </w:rPr>
        <w:t>må</w:t>
      </w:r>
      <w:r w:rsidR="0004344F">
        <w:rPr>
          <w:rFonts w:eastAsia="Times New Roman"/>
        </w:rPr>
        <w:t xml:space="preserve"> ge </w:t>
      </w:r>
      <w:r w:rsidR="00196FA4">
        <w:rPr>
          <w:rFonts w:eastAsia="Times New Roman"/>
        </w:rPr>
        <w:t>den</w:t>
      </w:r>
      <w:r w:rsidR="0004344F">
        <w:rPr>
          <w:rFonts w:eastAsia="Times New Roman"/>
        </w:rPr>
        <w:t xml:space="preserve"> kan jag inte se att det steg av slutledning som kännetecknar Noblit och Hares lines of argument-strategi tas i denna översikt.</w:t>
      </w:r>
    </w:p>
    <w:p w14:paraId="2175B29D" w14:textId="77777777" w:rsidR="0004344F" w:rsidRDefault="0004344F" w:rsidP="00FF7DF1">
      <w:pPr>
        <w:rPr>
          <w:rFonts w:eastAsia="Times New Roman"/>
        </w:rPr>
      </w:pPr>
    </w:p>
    <w:p w14:paraId="3B51E5DC" w14:textId="77777777" w:rsidR="0004344F" w:rsidRDefault="00294AA1" w:rsidP="00FF7DF1">
      <w:pPr>
        <w:rPr>
          <w:rFonts w:eastAsia="Times New Roman"/>
        </w:rPr>
      </w:pPr>
      <w:r>
        <w:rPr>
          <w:rFonts w:eastAsia="Times New Roman"/>
        </w:rPr>
        <w:t xml:space="preserve">I avsnittet om övergripande frågor kring syntesers metodologi kommenteras även metodologiska skillnader mellan studier som </w:t>
      </w:r>
      <w:r w:rsidR="006E4084">
        <w:rPr>
          <w:rFonts w:eastAsia="Times New Roman"/>
        </w:rPr>
        <w:t xml:space="preserve">ingått i </w:t>
      </w:r>
      <w:r>
        <w:rPr>
          <w:rFonts w:eastAsia="Times New Roman"/>
        </w:rPr>
        <w:t>översikt</w:t>
      </w:r>
      <w:r w:rsidR="006E4084">
        <w:rPr>
          <w:rFonts w:eastAsia="Times New Roman"/>
        </w:rPr>
        <w:t>en</w:t>
      </w:r>
      <w:r>
        <w:rPr>
          <w:rFonts w:eastAsia="Times New Roman"/>
        </w:rPr>
        <w:t xml:space="preserve">. </w:t>
      </w:r>
      <w:r w:rsidR="00732592">
        <w:rPr>
          <w:rFonts w:eastAsia="Times New Roman"/>
        </w:rPr>
        <w:t>Sådana skillnader har beaktats, heter det, i tolkningen av “</w:t>
      </w:r>
      <w:r w:rsidR="00D70B65">
        <w:rPr>
          <w:rFonts w:eastAsia="Times New Roman"/>
        </w:rPr>
        <w:t xml:space="preserve">eventuella motsägande resultat”. I stället för att förklara </w:t>
      </w:r>
      <w:r w:rsidR="006E4084">
        <w:rPr>
          <w:rFonts w:eastAsia="Times New Roman"/>
        </w:rPr>
        <w:t xml:space="preserve">hur de har </w:t>
      </w:r>
      <w:r w:rsidR="00D70B65">
        <w:rPr>
          <w:rFonts w:eastAsia="Times New Roman"/>
        </w:rPr>
        <w:t>hantera</w:t>
      </w:r>
      <w:r w:rsidR="006E4084">
        <w:rPr>
          <w:rFonts w:eastAsia="Times New Roman"/>
        </w:rPr>
        <w:t>t</w:t>
      </w:r>
      <w:r w:rsidR="00D70B65">
        <w:rPr>
          <w:rFonts w:eastAsia="Times New Roman"/>
        </w:rPr>
        <w:t xml:space="preserve"> spänningar och konflikter av detta slag nöjer sig författarna med att lägga till att de </w:t>
      </w:r>
      <w:r w:rsidR="00612F74">
        <w:rPr>
          <w:rFonts w:eastAsia="Times New Roman"/>
        </w:rPr>
        <w:t xml:space="preserve">inte har haft </w:t>
      </w:r>
      <w:r w:rsidR="006E0EB2">
        <w:rPr>
          <w:rFonts w:eastAsia="Times New Roman"/>
        </w:rPr>
        <w:t>någon ambition</w:t>
      </w:r>
    </w:p>
    <w:p w14:paraId="4FEC04EF" w14:textId="77777777" w:rsidR="00D70B65" w:rsidRDefault="00D70B65" w:rsidP="00FF7DF1">
      <w:pPr>
        <w:rPr>
          <w:rFonts w:eastAsia="Times New Roman"/>
        </w:rPr>
      </w:pPr>
    </w:p>
    <w:p w14:paraId="2C8620C3" w14:textId="77777777" w:rsidR="00D70B65" w:rsidRDefault="00A11322" w:rsidP="00A11322">
      <w:pPr>
        <w:pStyle w:val="Cit"/>
      </w:pPr>
      <w:r w:rsidRPr="00A11322">
        <w:t>att ge en översiktlig bild av skillnader mell</w:t>
      </w:r>
      <w:r>
        <w:t xml:space="preserve">an olika forskningsansatser och </w:t>
      </w:r>
      <w:r w:rsidRPr="00A11322">
        <w:t>teoribildningar inom området.</w:t>
      </w:r>
      <w:r>
        <w:t xml:space="preserve"> (56)</w:t>
      </w:r>
    </w:p>
    <w:p w14:paraId="30A3ADCF" w14:textId="77777777" w:rsidR="00A11322" w:rsidRDefault="00A11322" w:rsidP="00A11322">
      <w:pPr>
        <w:rPr>
          <w:rFonts w:eastAsia="Times New Roman"/>
        </w:rPr>
      </w:pPr>
    </w:p>
    <w:p w14:paraId="124FB74B" w14:textId="052F14FC" w:rsidR="00653DF3" w:rsidRDefault="00364569" w:rsidP="00653DF3">
      <w:pPr>
        <w:rPr>
          <w:rFonts w:eastAsia="Times New Roman"/>
        </w:rPr>
      </w:pPr>
      <w:r>
        <w:rPr>
          <w:rFonts w:eastAsia="Times New Roman"/>
        </w:rPr>
        <w:t xml:space="preserve">Att någon sådan ambition inte har väglett arbetet är uppenbart. Det vore märkligt om de </w:t>
      </w:r>
      <w:r w:rsidRPr="00364569">
        <w:rPr>
          <w:rFonts w:eastAsia="Times New Roman"/>
        </w:rPr>
        <w:t xml:space="preserve">forskare </w:t>
      </w:r>
      <w:r>
        <w:rPr>
          <w:rFonts w:eastAsia="Times New Roman"/>
        </w:rPr>
        <w:t xml:space="preserve">som deltagit i syntesen inte har noterat metodologiska skillnader i de studier som har ingått, men i den text som har författats har jag inte kunnat se att sådana konflikter har tillskrivits betydelse. </w:t>
      </w:r>
      <w:r w:rsidR="00653DF3">
        <w:rPr>
          <w:rFonts w:eastAsia="Times New Roman"/>
        </w:rPr>
        <w:t>Ett konstruktivistiskt perspektiv anläggs aldrig, och ingenting liknande det som i översikten om lärresurser kallas orsaksanalyser presenteras. Författarna intar, kort sagt, en realistisk hållning.</w:t>
      </w:r>
    </w:p>
    <w:p w14:paraId="17376A9A" w14:textId="77777777" w:rsidR="00653DF3" w:rsidRDefault="00653DF3" w:rsidP="00653DF3">
      <w:pPr>
        <w:rPr>
          <w:rFonts w:eastAsia="Times New Roman"/>
        </w:rPr>
      </w:pPr>
    </w:p>
    <w:p w14:paraId="44014BD2" w14:textId="77777777" w:rsidR="00460926" w:rsidRDefault="002B657A" w:rsidP="00653DF3">
      <w:pPr>
        <w:rPr>
          <w:rFonts w:eastAsia="Times New Roman"/>
        </w:rPr>
      </w:pPr>
      <w:r>
        <w:rPr>
          <w:rFonts w:eastAsia="Times New Roman"/>
        </w:rPr>
        <w:t>Den</w:t>
      </w:r>
      <w:r w:rsidR="00D12A9F">
        <w:rPr>
          <w:rFonts w:eastAsia="Times New Roman"/>
        </w:rPr>
        <w:t>na realistiska hållning</w:t>
      </w:r>
      <w:r>
        <w:rPr>
          <w:rFonts w:eastAsia="Times New Roman"/>
        </w:rPr>
        <w:t xml:space="preserve"> kommer bl a till uttryck i formuleringar om att översikten redovisar “vad forskningen sammantaget säger” (bl a xi, 42). </w:t>
      </w:r>
      <w:r w:rsidR="00CE066C">
        <w:rPr>
          <w:rFonts w:eastAsia="Times New Roman"/>
        </w:rPr>
        <w:t xml:space="preserve">Formuleringarna anspelar på en kontrast mellan två typer av </w:t>
      </w:r>
      <w:r w:rsidR="00CE066C" w:rsidRPr="00CE066C">
        <w:rPr>
          <w:rFonts w:eastAsia="Times New Roman"/>
        </w:rPr>
        <w:t>översik</w:t>
      </w:r>
      <w:r w:rsidR="00CE066C">
        <w:rPr>
          <w:rFonts w:eastAsia="Times New Roman"/>
        </w:rPr>
        <w:t xml:space="preserve">ter. </w:t>
      </w:r>
      <w:r w:rsidR="00613B00">
        <w:rPr>
          <w:rFonts w:eastAsia="Times New Roman"/>
        </w:rPr>
        <w:t>Åberopande Nobl</w:t>
      </w:r>
      <w:r w:rsidR="00D12A9F">
        <w:rPr>
          <w:rFonts w:eastAsia="Times New Roman"/>
        </w:rPr>
        <w:t>it och Hare</w:t>
      </w:r>
      <w:r w:rsidR="00517CE2">
        <w:rPr>
          <w:rFonts w:eastAsia="Times New Roman"/>
        </w:rPr>
        <w:t xml:space="preserve"> förklarar författarna att </w:t>
      </w:r>
      <w:r w:rsidR="00517CE2" w:rsidRPr="00517CE2">
        <w:rPr>
          <w:rFonts w:eastAsia="Times New Roman"/>
        </w:rPr>
        <w:t xml:space="preserve">systematiska översikter </w:t>
      </w:r>
      <w:r w:rsidR="00613B00">
        <w:rPr>
          <w:rFonts w:eastAsia="Times New Roman"/>
        </w:rPr>
        <w:t xml:space="preserve">genom att presentera synteser av primärlitteratur </w:t>
      </w:r>
      <w:r w:rsidR="00517CE2">
        <w:rPr>
          <w:rFonts w:eastAsia="Times New Roman"/>
        </w:rPr>
        <w:t>skiljer sig</w:t>
      </w:r>
    </w:p>
    <w:p w14:paraId="00C681C6" w14:textId="77777777" w:rsidR="00517CE2" w:rsidRDefault="00517CE2" w:rsidP="00653DF3">
      <w:pPr>
        <w:rPr>
          <w:rFonts w:eastAsia="Times New Roman"/>
        </w:rPr>
      </w:pPr>
    </w:p>
    <w:p w14:paraId="5A6D2B2C" w14:textId="77777777" w:rsidR="00517CE2" w:rsidRDefault="003E40D0" w:rsidP="003E40D0">
      <w:pPr>
        <w:pStyle w:val="Cit"/>
      </w:pPr>
      <w:r w:rsidRPr="003E40D0">
        <w:t>från forskningssammanställningar där de ingående studierna</w:t>
      </w:r>
      <w:r>
        <w:t xml:space="preserve"> </w:t>
      </w:r>
      <w:r w:rsidRPr="003E40D0">
        <w:t>ofta redovisas genom en uppräkning av</w:t>
      </w:r>
      <w:r>
        <w:t xml:space="preserve"> studiernas metod, </w:t>
      </w:r>
      <w:r w:rsidRPr="003E40D0">
        <w:t>begränsningar, resultat och</w:t>
      </w:r>
      <w:r>
        <w:t xml:space="preserve"> </w:t>
      </w:r>
      <w:r w:rsidRPr="003E40D0">
        <w:t>slutsatser, men där det saknas e</w:t>
      </w:r>
      <w:r>
        <w:t xml:space="preserve">n analys av vad studierna säger </w:t>
      </w:r>
      <w:r w:rsidRPr="003E40D0">
        <w:t>sammantaget</w:t>
      </w:r>
      <w:r>
        <w:t xml:space="preserve"> (55)</w:t>
      </w:r>
    </w:p>
    <w:p w14:paraId="291E1133" w14:textId="77777777" w:rsidR="00460926" w:rsidRDefault="00460926" w:rsidP="00653DF3">
      <w:pPr>
        <w:rPr>
          <w:rFonts w:eastAsia="Times New Roman"/>
        </w:rPr>
      </w:pPr>
    </w:p>
    <w:p w14:paraId="0186AB25" w14:textId="77777777" w:rsidR="00D65720" w:rsidRDefault="0034522C" w:rsidP="00D65720">
      <w:pPr>
        <w:rPr>
          <w:rFonts w:eastAsia="Times New Roman"/>
        </w:rPr>
      </w:pPr>
      <w:r>
        <w:rPr>
          <w:rFonts w:eastAsia="Times New Roman"/>
        </w:rPr>
        <w:t xml:space="preserve">Ingen sidhänvisning ges, men den ståndpunkt som återges är den kritik av traditionella </w:t>
      </w:r>
      <w:r w:rsidRPr="0034522C">
        <w:rPr>
          <w:rFonts w:eastAsia="Times New Roman"/>
        </w:rPr>
        <w:t xml:space="preserve">översikter </w:t>
      </w:r>
      <w:r>
        <w:rPr>
          <w:rFonts w:eastAsia="Times New Roman"/>
        </w:rPr>
        <w:t xml:space="preserve">jag i ett tidigare avsnitt </w:t>
      </w:r>
      <w:r w:rsidR="00D12A9F">
        <w:rPr>
          <w:rFonts w:eastAsia="Times New Roman"/>
        </w:rPr>
        <w:t>citerade</w:t>
      </w:r>
      <w:r>
        <w:rPr>
          <w:rFonts w:eastAsia="Times New Roman"/>
        </w:rPr>
        <w:t xml:space="preserve"> ur Noblit &amp; Hare 1988. </w:t>
      </w:r>
      <w:r w:rsidR="000B563D">
        <w:rPr>
          <w:rFonts w:eastAsia="Times New Roman"/>
        </w:rPr>
        <w:t xml:space="preserve">Detta är alltså det argument mot informella </w:t>
      </w:r>
      <w:r w:rsidR="000B563D" w:rsidRPr="00E51E84">
        <w:rPr>
          <w:rFonts w:eastAsia="Times New Roman"/>
        </w:rPr>
        <w:t xml:space="preserve">översikter </w:t>
      </w:r>
      <w:r w:rsidR="000B563D">
        <w:rPr>
          <w:rFonts w:eastAsia="Times New Roman"/>
        </w:rPr>
        <w:t xml:space="preserve">som Kenneth Feldman gav 1971, och som därefter regelbundet har upprepats inom såväl kvantitativ som kvalitativ syntes. </w:t>
      </w:r>
      <w:r w:rsidR="00613B00">
        <w:rPr>
          <w:rFonts w:eastAsia="Times New Roman"/>
        </w:rPr>
        <w:t xml:space="preserve">Det finns ingen anledning att </w:t>
      </w:r>
      <w:r w:rsidR="00613B00">
        <w:rPr>
          <w:rFonts w:eastAsia="Times New Roman"/>
        </w:rPr>
        <w:lastRenderedPageBreak/>
        <w:t>betvivla att Feldman</w:t>
      </w:r>
      <w:r w:rsidR="00B514BD">
        <w:rPr>
          <w:rFonts w:eastAsia="Times New Roman"/>
        </w:rPr>
        <w:t xml:space="preserve"> </w:t>
      </w:r>
      <w:r w:rsidR="00613B00">
        <w:rPr>
          <w:rFonts w:eastAsia="Times New Roman"/>
        </w:rPr>
        <w:t xml:space="preserve">och andra </w:t>
      </w:r>
      <w:r w:rsidR="00613B00" w:rsidRPr="00613B00">
        <w:rPr>
          <w:rFonts w:eastAsia="Times New Roman"/>
        </w:rPr>
        <w:t xml:space="preserve">forskare </w:t>
      </w:r>
      <w:r w:rsidR="00613B00">
        <w:rPr>
          <w:rFonts w:eastAsia="Times New Roman"/>
        </w:rPr>
        <w:t xml:space="preserve">som har intagit denna ståndpunkt har sett exempel på </w:t>
      </w:r>
      <w:r w:rsidR="00613B00" w:rsidRPr="00613B00">
        <w:rPr>
          <w:rFonts w:eastAsia="Times New Roman"/>
        </w:rPr>
        <w:t xml:space="preserve">översikter </w:t>
      </w:r>
      <w:r w:rsidR="00613B00">
        <w:rPr>
          <w:rFonts w:eastAsia="Times New Roman"/>
        </w:rPr>
        <w:t xml:space="preserve">som inte länkar samman eller integrerar de studier som presenteras, </w:t>
      </w:r>
      <w:r w:rsidR="007E6560">
        <w:rPr>
          <w:rFonts w:eastAsia="Times New Roman"/>
        </w:rPr>
        <w:t xml:space="preserve">men härav följer inte att alla </w:t>
      </w:r>
      <w:r w:rsidR="007E6560" w:rsidRPr="007E6560">
        <w:rPr>
          <w:rFonts w:eastAsia="Times New Roman"/>
        </w:rPr>
        <w:t xml:space="preserve">översikter </w:t>
      </w:r>
      <w:r w:rsidR="007E6560">
        <w:rPr>
          <w:rFonts w:eastAsia="Times New Roman"/>
        </w:rPr>
        <w:t xml:space="preserve">som genomförs utan att följa explicita metodanvisningar är av det slaget. </w:t>
      </w:r>
      <w:r w:rsidR="00D65720">
        <w:rPr>
          <w:rFonts w:eastAsia="Times New Roman"/>
        </w:rPr>
        <w:t xml:space="preserve">Många </w:t>
      </w:r>
      <w:r w:rsidR="00D65720" w:rsidRPr="00C142B9">
        <w:rPr>
          <w:rFonts w:eastAsia="Times New Roman"/>
        </w:rPr>
        <w:t xml:space="preserve">översikter </w:t>
      </w:r>
      <w:r w:rsidR="00D65720">
        <w:rPr>
          <w:rFonts w:eastAsia="Times New Roman"/>
        </w:rPr>
        <w:t>som genomförs utan formaliserade procedurer ger tvärt om en mycket god förståelse av de ämnen som behandlas. Så sker bl a i</w:t>
      </w:r>
      <w:r w:rsidR="002C6931">
        <w:rPr>
          <w:rFonts w:eastAsia="Times New Roman"/>
        </w:rPr>
        <w:t>nom ramen för</w:t>
      </w:r>
      <w:r w:rsidR="00D65720">
        <w:rPr>
          <w:rFonts w:eastAsia="Times New Roman"/>
        </w:rPr>
        <w:t xml:space="preserve"> </w:t>
      </w:r>
      <w:r w:rsidR="002C6931">
        <w:rPr>
          <w:rFonts w:eastAsia="Times New Roman"/>
        </w:rPr>
        <w:t>genren</w:t>
      </w:r>
      <w:r w:rsidR="00776B50">
        <w:rPr>
          <w:rFonts w:eastAsia="Times New Roman"/>
        </w:rPr>
        <w:t xml:space="preserve"> internationella handbooks (Bohlin 2018).</w:t>
      </w:r>
    </w:p>
    <w:p w14:paraId="26606736" w14:textId="77777777" w:rsidR="000B563D" w:rsidRDefault="000B563D" w:rsidP="000B563D">
      <w:pPr>
        <w:rPr>
          <w:rFonts w:eastAsia="Times New Roman"/>
        </w:rPr>
      </w:pPr>
    </w:p>
    <w:p w14:paraId="5B644202" w14:textId="77777777" w:rsidR="00460926" w:rsidRDefault="009C6F8E" w:rsidP="00653DF3">
      <w:pPr>
        <w:rPr>
          <w:rFonts w:eastAsia="Times New Roman"/>
        </w:rPr>
      </w:pPr>
      <w:r>
        <w:rPr>
          <w:rFonts w:eastAsia="Times New Roman"/>
        </w:rPr>
        <w:t xml:space="preserve">I väsentliga avseenden </w:t>
      </w:r>
      <w:r w:rsidR="00776B50">
        <w:rPr>
          <w:rFonts w:eastAsia="Times New Roman"/>
        </w:rPr>
        <w:t>är</w:t>
      </w:r>
      <w:r>
        <w:rPr>
          <w:rFonts w:eastAsia="Times New Roman"/>
        </w:rPr>
        <w:t xml:space="preserve"> översikten </w:t>
      </w:r>
      <w:r w:rsidR="002C6931">
        <w:rPr>
          <w:rFonts w:eastAsia="Times New Roman"/>
        </w:rPr>
        <w:t xml:space="preserve">om klassrumsdialog </w:t>
      </w:r>
      <w:r>
        <w:rPr>
          <w:rFonts w:eastAsia="Times New Roman"/>
        </w:rPr>
        <w:t xml:space="preserve">i själva verket </w:t>
      </w:r>
      <w:r w:rsidR="00776B50">
        <w:rPr>
          <w:rFonts w:eastAsia="Times New Roman"/>
        </w:rPr>
        <w:t xml:space="preserve">ett exempel på den typen av </w:t>
      </w:r>
      <w:r>
        <w:rPr>
          <w:rFonts w:eastAsia="Times New Roman"/>
        </w:rPr>
        <w:t>syntes. Det konfigurer</w:t>
      </w:r>
      <w:r w:rsidR="00B00EDE">
        <w:rPr>
          <w:rFonts w:eastAsia="Times New Roman"/>
        </w:rPr>
        <w:t>a</w:t>
      </w:r>
      <w:r>
        <w:rPr>
          <w:rFonts w:eastAsia="Times New Roman"/>
        </w:rPr>
        <w:t xml:space="preserve">nde som är så centralt i översikten är helt parallellt inte bara </w:t>
      </w:r>
      <w:r w:rsidR="00776B50">
        <w:rPr>
          <w:rFonts w:eastAsia="Times New Roman"/>
        </w:rPr>
        <w:t>med</w:t>
      </w:r>
      <w:r>
        <w:rPr>
          <w:rFonts w:eastAsia="Times New Roman"/>
        </w:rPr>
        <w:t xml:space="preserve"> det sätt på vilket kvalitativa primärstudier brukar vara uppbyggda, utan dessutom </w:t>
      </w:r>
      <w:r w:rsidR="00776B50">
        <w:rPr>
          <w:rFonts w:eastAsia="Times New Roman"/>
        </w:rPr>
        <w:t>med</w:t>
      </w:r>
      <w:r>
        <w:rPr>
          <w:rFonts w:eastAsia="Times New Roman"/>
        </w:rPr>
        <w:t xml:space="preserve"> väl genomförda informella </w:t>
      </w:r>
      <w:r w:rsidRPr="009C6F8E">
        <w:rPr>
          <w:rFonts w:eastAsia="Times New Roman"/>
        </w:rPr>
        <w:t>översik</w:t>
      </w:r>
      <w:r>
        <w:rPr>
          <w:rFonts w:eastAsia="Times New Roman"/>
        </w:rPr>
        <w:t>ter. Procedurer för litteratursökning, relevansbedömning etc beskrivs relativt noggrant</w:t>
      </w:r>
      <w:r w:rsidR="00776B50">
        <w:rPr>
          <w:rFonts w:eastAsia="Times New Roman"/>
        </w:rPr>
        <w:t xml:space="preserve"> i översikten</w:t>
      </w:r>
      <w:r>
        <w:rPr>
          <w:rFonts w:eastAsia="Times New Roman"/>
        </w:rPr>
        <w:t xml:space="preserve">, men ingenting tyder på att de intellektuella operationer med vilka själva syntesen har </w:t>
      </w:r>
      <w:r w:rsidR="00CF5A64">
        <w:rPr>
          <w:rFonts w:eastAsia="Times New Roman"/>
        </w:rPr>
        <w:t xml:space="preserve">byggts upp </w:t>
      </w:r>
      <w:r>
        <w:rPr>
          <w:rFonts w:eastAsia="Times New Roman"/>
        </w:rPr>
        <w:t xml:space="preserve">har </w:t>
      </w:r>
      <w:r w:rsidR="00CF5A64">
        <w:rPr>
          <w:rFonts w:eastAsia="Times New Roman"/>
        </w:rPr>
        <w:t xml:space="preserve">utförts på basis av </w:t>
      </w:r>
      <w:r>
        <w:rPr>
          <w:rFonts w:eastAsia="Times New Roman"/>
        </w:rPr>
        <w:t>formaliserade procedurer.</w:t>
      </w:r>
    </w:p>
    <w:p w14:paraId="30451F55" w14:textId="77777777" w:rsidR="00460926" w:rsidRDefault="00460926" w:rsidP="00653DF3">
      <w:pPr>
        <w:rPr>
          <w:rFonts w:eastAsia="Times New Roman"/>
        </w:rPr>
      </w:pPr>
    </w:p>
    <w:p w14:paraId="66CFBE84" w14:textId="77777777" w:rsidR="004F7104" w:rsidRDefault="004F7104" w:rsidP="00653DF3">
      <w:pPr>
        <w:rPr>
          <w:rFonts w:eastAsia="Times New Roman"/>
        </w:rPr>
      </w:pPr>
    </w:p>
    <w:p w14:paraId="4ACCC876" w14:textId="77777777" w:rsidR="00A11322" w:rsidRPr="000B384D" w:rsidRDefault="00CF5A64" w:rsidP="00A11322">
      <w:pPr>
        <w:rPr>
          <w:rFonts w:eastAsia="Times New Roman"/>
          <w:sz w:val="40"/>
          <w:szCs w:val="40"/>
        </w:rPr>
      </w:pPr>
      <w:r w:rsidRPr="000B384D">
        <w:rPr>
          <w:rFonts w:eastAsia="Times New Roman"/>
          <w:sz w:val="40"/>
          <w:szCs w:val="40"/>
        </w:rPr>
        <w:t>Slutsatser</w:t>
      </w:r>
    </w:p>
    <w:p w14:paraId="2D333009" w14:textId="77777777" w:rsidR="00CF5A64" w:rsidRDefault="00CF5A64" w:rsidP="00A11322">
      <w:pPr>
        <w:rPr>
          <w:rFonts w:eastAsia="Times New Roman"/>
        </w:rPr>
      </w:pPr>
    </w:p>
    <w:p w14:paraId="1FC68298" w14:textId="77777777" w:rsidR="00735659" w:rsidRDefault="002475AE" w:rsidP="00735659">
      <w:pPr>
        <w:rPr>
          <w:rFonts w:eastAsia="Times New Roman"/>
          <w:szCs w:val="28"/>
        </w:rPr>
      </w:pPr>
      <w:r>
        <w:rPr>
          <w:rFonts w:eastAsia="Times New Roman"/>
        </w:rPr>
        <w:t xml:space="preserve">I avsnitten ovan har </w:t>
      </w:r>
      <w:r w:rsidR="00735659">
        <w:rPr>
          <w:rFonts w:eastAsia="Times New Roman"/>
        </w:rPr>
        <w:t xml:space="preserve">ett antal </w:t>
      </w:r>
      <w:r>
        <w:rPr>
          <w:rFonts w:eastAsia="Times New Roman"/>
        </w:rPr>
        <w:t xml:space="preserve">slutsatser specifika för de </w:t>
      </w:r>
      <w:r w:rsidR="00735659">
        <w:rPr>
          <w:rFonts w:eastAsia="Times New Roman"/>
        </w:rPr>
        <w:t xml:space="preserve">två </w:t>
      </w:r>
      <w:r w:rsidR="00735659" w:rsidRPr="00735659">
        <w:rPr>
          <w:rFonts w:eastAsia="Times New Roman"/>
        </w:rPr>
        <w:t>översik</w:t>
      </w:r>
      <w:r w:rsidR="00735659">
        <w:rPr>
          <w:rFonts w:eastAsia="Times New Roman"/>
        </w:rPr>
        <w:t xml:space="preserve">terna dragits. Här vill jag tillfoga några få mer generella slutsatser. Till att börja med bör det påpekas att jag </w:t>
      </w:r>
      <w:r w:rsidR="00735659">
        <w:rPr>
          <w:rFonts w:eastAsia="Times New Roman"/>
          <w:szCs w:val="28"/>
        </w:rPr>
        <w:t xml:space="preserve">saknar kompetens inom pedagogisk forskning och inte är bekant med den litteratur som behandlas i </w:t>
      </w:r>
      <w:r w:rsidR="00735659" w:rsidRPr="0033451E">
        <w:rPr>
          <w:rFonts w:eastAsia="Times New Roman"/>
          <w:szCs w:val="28"/>
        </w:rPr>
        <w:t>översik</w:t>
      </w:r>
      <w:r w:rsidR="00735659">
        <w:rPr>
          <w:rFonts w:eastAsia="Times New Roman"/>
          <w:szCs w:val="28"/>
        </w:rPr>
        <w:t xml:space="preserve">terna. Man kan utgå från att en del </w:t>
      </w:r>
      <w:r w:rsidR="00735659" w:rsidRPr="003825BF">
        <w:rPr>
          <w:rFonts w:eastAsia="Times New Roman"/>
          <w:szCs w:val="28"/>
        </w:rPr>
        <w:t xml:space="preserve">forskare </w:t>
      </w:r>
      <w:r w:rsidR="00735659">
        <w:rPr>
          <w:rFonts w:eastAsia="Times New Roman"/>
          <w:szCs w:val="28"/>
        </w:rPr>
        <w:t xml:space="preserve">verksamma inom dessa områden skulle ha lyft fram andra aspekter av studierna och relaterat dem till varandra på andra sätt än vad som skett i dessa synteser. Att de resonemang som i </w:t>
      </w:r>
      <w:r w:rsidR="00735659" w:rsidRPr="00735659">
        <w:rPr>
          <w:rFonts w:eastAsia="Times New Roman"/>
          <w:szCs w:val="28"/>
        </w:rPr>
        <w:t>översik</w:t>
      </w:r>
      <w:r w:rsidR="00735659">
        <w:rPr>
          <w:rFonts w:eastAsia="Times New Roman"/>
          <w:szCs w:val="28"/>
        </w:rPr>
        <w:t xml:space="preserve">terna förs om det empiriska underlaget är grundliga, noggranna och nyanserade är ändå uppenbart. </w:t>
      </w:r>
      <w:r w:rsidR="00513F1E">
        <w:rPr>
          <w:rFonts w:eastAsia="Times New Roman"/>
          <w:szCs w:val="28"/>
        </w:rPr>
        <w:t xml:space="preserve">Översikterna är väl genomförda. </w:t>
      </w:r>
      <w:r w:rsidR="00116791">
        <w:rPr>
          <w:rFonts w:eastAsia="Times New Roman"/>
          <w:szCs w:val="28"/>
        </w:rPr>
        <w:t xml:space="preserve">Föreliggande rapport är inte rätt sammanhang för en utvärdering av den </w:t>
      </w:r>
      <w:r w:rsidR="00735659">
        <w:rPr>
          <w:rFonts w:eastAsia="Times New Roman"/>
          <w:szCs w:val="28"/>
        </w:rPr>
        <w:t xml:space="preserve">infrastruktur som </w:t>
      </w:r>
      <w:r w:rsidR="00735659" w:rsidRPr="0033451E">
        <w:rPr>
          <w:rFonts w:eastAsia="Times New Roman"/>
          <w:szCs w:val="28"/>
        </w:rPr>
        <w:t xml:space="preserve">institutet </w:t>
      </w:r>
      <w:r w:rsidR="00735659">
        <w:rPr>
          <w:rFonts w:eastAsia="Times New Roman"/>
          <w:szCs w:val="28"/>
        </w:rPr>
        <w:t>har byggt upp f</w:t>
      </w:r>
      <w:r w:rsidR="00116791">
        <w:rPr>
          <w:rFonts w:eastAsia="Times New Roman"/>
          <w:szCs w:val="28"/>
        </w:rPr>
        <w:t xml:space="preserve">ör denna gren av sin verksamhet. </w:t>
      </w:r>
      <w:r w:rsidR="00513F1E">
        <w:rPr>
          <w:rFonts w:eastAsia="Times New Roman"/>
          <w:szCs w:val="28"/>
        </w:rPr>
        <w:t xml:space="preserve">Säkerligen finns här ett utrymme för förbättringar, men i sina huvuddrag </w:t>
      </w:r>
      <w:r w:rsidR="00735659">
        <w:rPr>
          <w:rFonts w:eastAsia="Times New Roman"/>
          <w:szCs w:val="28"/>
        </w:rPr>
        <w:t xml:space="preserve">förefaller </w:t>
      </w:r>
      <w:r w:rsidR="00513F1E">
        <w:rPr>
          <w:rFonts w:eastAsia="Times New Roman"/>
          <w:szCs w:val="28"/>
        </w:rPr>
        <w:t>infrastrukturen ändamålsenlig.</w:t>
      </w:r>
    </w:p>
    <w:p w14:paraId="1D8CB2F9" w14:textId="77777777" w:rsidR="00CF5A64" w:rsidRDefault="00CF5A64" w:rsidP="00A11322">
      <w:pPr>
        <w:rPr>
          <w:rFonts w:eastAsia="Times New Roman"/>
        </w:rPr>
      </w:pPr>
    </w:p>
    <w:p w14:paraId="39BAC550" w14:textId="77777777" w:rsidR="00735659" w:rsidRDefault="00AB434D" w:rsidP="00A11322">
      <w:pPr>
        <w:rPr>
          <w:rFonts w:eastAsia="Times New Roman"/>
        </w:rPr>
      </w:pPr>
      <w:r>
        <w:rPr>
          <w:rFonts w:eastAsia="Times New Roman"/>
        </w:rPr>
        <w:t xml:space="preserve">Vad gäller metodologisk reflektion </w:t>
      </w:r>
      <w:r w:rsidR="00513F1E">
        <w:rPr>
          <w:rFonts w:eastAsia="Times New Roman"/>
        </w:rPr>
        <w:t>vill jag</w:t>
      </w:r>
      <w:r>
        <w:rPr>
          <w:rFonts w:eastAsia="Times New Roman"/>
        </w:rPr>
        <w:t xml:space="preserve"> emellertid </w:t>
      </w:r>
      <w:r w:rsidR="00513F1E">
        <w:rPr>
          <w:rFonts w:eastAsia="Times New Roman"/>
        </w:rPr>
        <w:t xml:space="preserve">peka på </w:t>
      </w:r>
      <w:r>
        <w:rPr>
          <w:rFonts w:eastAsia="Times New Roman"/>
        </w:rPr>
        <w:t xml:space="preserve">ett behov av utveckling. </w:t>
      </w:r>
      <w:r w:rsidR="001E63D6">
        <w:rPr>
          <w:rFonts w:eastAsia="Times New Roman"/>
        </w:rPr>
        <w:t xml:space="preserve">För att stärka denna aspekt i </w:t>
      </w:r>
      <w:r w:rsidR="00A53799">
        <w:rPr>
          <w:rFonts w:eastAsia="Times New Roman"/>
        </w:rPr>
        <w:t xml:space="preserve">framtida sammanställningar av </w:t>
      </w:r>
      <w:r w:rsidR="00A53799" w:rsidRPr="00A53799">
        <w:rPr>
          <w:rFonts w:eastAsia="Times New Roman"/>
        </w:rPr>
        <w:t xml:space="preserve">kvantitativ </w:t>
      </w:r>
      <w:r w:rsidR="00A53799">
        <w:rPr>
          <w:rFonts w:eastAsia="Times New Roman"/>
        </w:rPr>
        <w:t xml:space="preserve">litteratur </w:t>
      </w:r>
      <w:r w:rsidR="001E63D6">
        <w:rPr>
          <w:rFonts w:eastAsia="Times New Roman"/>
        </w:rPr>
        <w:t xml:space="preserve">vid institutet </w:t>
      </w:r>
      <w:r w:rsidR="00A53799">
        <w:rPr>
          <w:rFonts w:eastAsia="Times New Roman"/>
        </w:rPr>
        <w:t xml:space="preserve">bör projektgruppen bakom översikten om digitala lärresurser ta ställning till huruvida det arbetet </w:t>
      </w:r>
      <w:r w:rsidR="001E63D6">
        <w:rPr>
          <w:rFonts w:eastAsia="Times New Roman"/>
        </w:rPr>
        <w:t xml:space="preserve">bör förstås som ett exempel på </w:t>
      </w:r>
      <w:r w:rsidR="001E63D6" w:rsidRPr="001E63D6">
        <w:rPr>
          <w:rFonts w:eastAsia="Times New Roman"/>
        </w:rPr>
        <w:t>metaanalys</w:t>
      </w:r>
      <w:r w:rsidR="001E63D6">
        <w:rPr>
          <w:rFonts w:eastAsia="Times New Roman"/>
        </w:rPr>
        <w:t>,</w:t>
      </w:r>
      <w:r w:rsidR="001E63D6" w:rsidRPr="001E63D6">
        <w:rPr>
          <w:rFonts w:eastAsia="Times New Roman"/>
        </w:rPr>
        <w:t xml:space="preserve"> </w:t>
      </w:r>
      <w:r w:rsidR="00515647">
        <w:rPr>
          <w:rFonts w:eastAsia="Times New Roman"/>
        </w:rPr>
        <w:t xml:space="preserve">eller om den vikt som har lagts vid orsaksanalys </w:t>
      </w:r>
      <w:r w:rsidR="00515647">
        <w:rPr>
          <w:rFonts w:eastAsia="Times New Roman"/>
        </w:rPr>
        <w:lastRenderedPageBreak/>
        <w:t xml:space="preserve">innebär att </w:t>
      </w:r>
      <w:r w:rsidR="001E63D6">
        <w:rPr>
          <w:rFonts w:eastAsia="Times New Roman"/>
        </w:rPr>
        <w:t xml:space="preserve">någon annan beteckning vore mer adekvat. </w:t>
      </w:r>
      <w:r w:rsidR="00F56504">
        <w:rPr>
          <w:rFonts w:eastAsia="Times New Roman"/>
        </w:rPr>
        <w:t>Oavsett vilken benämning</w:t>
      </w:r>
      <w:r w:rsidR="00184A45">
        <w:rPr>
          <w:rFonts w:eastAsia="Times New Roman"/>
        </w:rPr>
        <w:t xml:space="preserve"> </w:t>
      </w:r>
      <w:r w:rsidR="00F66327">
        <w:rPr>
          <w:rFonts w:eastAsia="Times New Roman"/>
        </w:rPr>
        <w:t xml:space="preserve">som är lämplig </w:t>
      </w:r>
      <w:r w:rsidR="00184A45">
        <w:rPr>
          <w:rFonts w:eastAsia="Times New Roman"/>
        </w:rPr>
        <w:t xml:space="preserve">skulle en explicit, tydlig diskussion av de metodologiska val man står inför i prioriterandet av en sammanvägd effektstorlek eller en förståelse av felkällor </w:t>
      </w:r>
      <w:r w:rsidR="00F66327">
        <w:rPr>
          <w:rFonts w:eastAsia="Times New Roman"/>
        </w:rPr>
        <w:t xml:space="preserve">och brister i olika studier </w:t>
      </w:r>
      <w:r w:rsidR="00E8177F">
        <w:rPr>
          <w:rFonts w:eastAsia="Times New Roman"/>
        </w:rPr>
        <w:t xml:space="preserve">vara klargörande. </w:t>
      </w:r>
      <w:r w:rsidR="00A42AB0">
        <w:rPr>
          <w:rFonts w:eastAsia="Times New Roman"/>
        </w:rPr>
        <w:t xml:space="preserve">I en </w:t>
      </w:r>
      <w:r w:rsidR="00E8177F">
        <w:rPr>
          <w:rFonts w:eastAsia="Times New Roman"/>
        </w:rPr>
        <w:t xml:space="preserve">sådan diskussion bör exempel ur litteraturen </w:t>
      </w:r>
      <w:r w:rsidR="00F66327">
        <w:rPr>
          <w:rFonts w:eastAsia="Times New Roman"/>
        </w:rPr>
        <w:t xml:space="preserve">ingå, för att visa </w:t>
      </w:r>
      <w:r w:rsidR="00E8177F">
        <w:rPr>
          <w:rFonts w:eastAsia="Times New Roman"/>
        </w:rPr>
        <w:t xml:space="preserve">hur dessa val har beskrivits och hanterats i andra </w:t>
      </w:r>
      <w:r w:rsidR="00E8177F" w:rsidRPr="00CF2F03">
        <w:rPr>
          <w:rFonts w:eastAsia="Times New Roman"/>
        </w:rPr>
        <w:t>översik</w:t>
      </w:r>
      <w:r w:rsidR="00E8177F">
        <w:rPr>
          <w:rFonts w:eastAsia="Times New Roman"/>
        </w:rPr>
        <w:t xml:space="preserve">ter. </w:t>
      </w:r>
      <w:r w:rsidR="005B2422">
        <w:rPr>
          <w:rFonts w:eastAsia="Times New Roman"/>
        </w:rPr>
        <w:t xml:space="preserve">Även konfigurativa drag i översikten om lärresurser </w:t>
      </w:r>
      <w:r w:rsidR="00A42AB0">
        <w:rPr>
          <w:rFonts w:eastAsia="Times New Roman"/>
        </w:rPr>
        <w:t xml:space="preserve">som inte är relaterade </w:t>
      </w:r>
      <w:r w:rsidR="005B2422">
        <w:rPr>
          <w:rFonts w:eastAsia="Times New Roman"/>
        </w:rPr>
        <w:t xml:space="preserve">till orsaksanalys </w:t>
      </w:r>
      <w:r w:rsidR="00A42AB0">
        <w:rPr>
          <w:rFonts w:eastAsia="Times New Roman"/>
        </w:rPr>
        <w:t xml:space="preserve">är </w:t>
      </w:r>
      <w:r w:rsidR="005B2422">
        <w:rPr>
          <w:rFonts w:eastAsia="Times New Roman"/>
        </w:rPr>
        <w:t>värda att a</w:t>
      </w:r>
      <w:r w:rsidR="00243D05">
        <w:rPr>
          <w:rFonts w:eastAsia="Times New Roman"/>
        </w:rPr>
        <w:t>rtikulera.</w:t>
      </w:r>
    </w:p>
    <w:p w14:paraId="4D305325" w14:textId="77777777" w:rsidR="00243D05" w:rsidRDefault="00243D05" w:rsidP="00A11322">
      <w:pPr>
        <w:rPr>
          <w:rFonts w:eastAsia="Times New Roman"/>
        </w:rPr>
      </w:pPr>
    </w:p>
    <w:p w14:paraId="51F29E6A" w14:textId="77777777" w:rsidR="00243D05" w:rsidRPr="008C0740" w:rsidRDefault="002959BD" w:rsidP="00A11322">
      <w:pPr>
        <w:rPr>
          <w:rFonts w:eastAsia="Times New Roman"/>
        </w:rPr>
      </w:pPr>
      <w:r>
        <w:rPr>
          <w:rFonts w:eastAsia="Times New Roman"/>
        </w:rPr>
        <w:t xml:space="preserve">I översikten om klassrumsdialog </w:t>
      </w:r>
      <w:r w:rsidR="00080406">
        <w:rPr>
          <w:rFonts w:eastAsia="Times New Roman"/>
        </w:rPr>
        <w:t>skulle</w:t>
      </w:r>
      <w:r>
        <w:rPr>
          <w:rFonts w:eastAsia="Times New Roman"/>
        </w:rPr>
        <w:t xml:space="preserve"> en fylligare diskussion av hu</w:t>
      </w:r>
      <w:r w:rsidR="00F66327">
        <w:rPr>
          <w:rFonts w:eastAsia="Times New Roman"/>
        </w:rPr>
        <w:t>r arbetet fö</w:t>
      </w:r>
      <w:r>
        <w:rPr>
          <w:rFonts w:eastAsia="Times New Roman"/>
        </w:rPr>
        <w:t xml:space="preserve">rhåller sig till Noblit och Hares strategier ömsesidig översättning respektive lines of argument-syntes </w:t>
      </w:r>
      <w:r w:rsidR="00080406">
        <w:rPr>
          <w:rFonts w:eastAsia="Times New Roman"/>
        </w:rPr>
        <w:t xml:space="preserve">ha </w:t>
      </w:r>
      <w:r>
        <w:rPr>
          <w:rFonts w:eastAsia="Times New Roman"/>
        </w:rPr>
        <w:t xml:space="preserve">varit </w:t>
      </w:r>
      <w:r w:rsidR="00080406">
        <w:rPr>
          <w:rFonts w:eastAsia="Times New Roman"/>
        </w:rPr>
        <w:t>väl motiverad</w:t>
      </w:r>
      <w:r>
        <w:rPr>
          <w:rFonts w:eastAsia="Times New Roman"/>
        </w:rPr>
        <w:t xml:space="preserve">. </w:t>
      </w:r>
      <w:r w:rsidR="00A132FA">
        <w:rPr>
          <w:rFonts w:eastAsia="Times New Roman"/>
        </w:rPr>
        <w:t xml:space="preserve">Likaså bör begränsningar förknippade med ett realistiskt perspektiv dryftas, och relateras till den möjliga nyttan av att i delar av analysen anlägga ett konstruktivistiskt perspektiv. </w:t>
      </w:r>
      <w:r w:rsidR="00767242">
        <w:rPr>
          <w:rFonts w:eastAsia="Times New Roman"/>
        </w:rPr>
        <w:t>Om diskrepanser mellan oli</w:t>
      </w:r>
      <w:r w:rsidR="00F66327">
        <w:rPr>
          <w:rFonts w:eastAsia="Times New Roman"/>
        </w:rPr>
        <w:t xml:space="preserve">ka studiers resultat har sin grund i skilda teoretiska och metodologiska antaganden bör detta redovisas. </w:t>
      </w:r>
      <w:r w:rsidR="00D172A8">
        <w:rPr>
          <w:rFonts w:eastAsia="Times New Roman"/>
        </w:rPr>
        <w:t xml:space="preserve">En annan fråga värd att reflektera över gäller </w:t>
      </w:r>
      <w:r w:rsidR="000F0720">
        <w:rPr>
          <w:rFonts w:eastAsia="Times New Roman"/>
        </w:rPr>
        <w:t>vilka</w:t>
      </w:r>
      <w:r w:rsidR="00D172A8">
        <w:rPr>
          <w:rFonts w:eastAsia="Times New Roman"/>
        </w:rPr>
        <w:t xml:space="preserve"> för- </w:t>
      </w:r>
      <w:r w:rsidR="000F0720">
        <w:rPr>
          <w:rFonts w:eastAsia="Times New Roman"/>
        </w:rPr>
        <w:t xml:space="preserve">respektive </w:t>
      </w:r>
      <w:r w:rsidR="00D172A8">
        <w:rPr>
          <w:rFonts w:eastAsia="Times New Roman"/>
        </w:rPr>
        <w:t>nackdelar li</w:t>
      </w:r>
      <w:r w:rsidR="008C0740">
        <w:rPr>
          <w:rFonts w:eastAsia="Times New Roman"/>
        </w:rPr>
        <w:t>tteratursökningar med ambitionen</w:t>
      </w:r>
      <w:r w:rsidR="00D172A8">
        <w:rPr>
          <w:rFonts w:eastAsia="Times New Roman"/>
        </w:rPr>
        <w:t xml:space="preserve"> </w:t>
      </w:r>
      <w:r w:rsidR="008C0740">
        <w:rPr>
          <w:rFonts w:eastAsia="Times New Roman"/>
        </w:rPr>
        <w:t xml:space="preserve">att uppnå </w:t>
      </w:r>
      <w:r w:rsidR="00F66327">
        <w:rPr>
          <w:rFonts w:eastAsia="Times New Roman"/>
        </w:rPr>
        <w:t xml:space="preserve">fullständig täckning </w:t>
      </w:r>
      <w:r w:rsidR="000F0720">
        <w:rPr>
          <w:rFonts w:eastAsia="Times New Roman"/>
        </w:rPr>
        <w:t>medför</w:t>
      </w:r>
      <w:r w:rsidR="00D172A8">
        <w:rPr>
          <w:rFonts w:eastAsia="Times New Roman"/>
        </w:rPr>
        <w:t xml:space="preserve"> i synteser huvudsakligen baserade på konfigurering. </w:t>
      </w:r>
      <w:r w:rsidR="008C0740">
        <w:rPr>
          <w:rFonts w:eastAsia="Times New Roman"/>
        </w:rPr>
        <w:t xml:space="preserve">Föreställningen att en uttömmande litteratursökningen ingår i varje </w:t>
      </w:r>
      <w:r w:rsidR="008C0740" w:rsidRPr="008C0740">
        <w:rPr>
          <w:rFonts w:eastAsia="Times New Roman"/>
        </w:rPr>
        <w:t>s</w:t>
      </w:r>
      <w:r w:rsidR="008C0740">
        <w:rPr>
          <w:rFonts w:eastAsia="Times New Roman"/>
        </w:rPr>
        <w:t>ystematisk</w:t>
      </w:r>
      <w:r w:rsidR="008C0740" w:rsidRPr="008C0740">
        <w:rPr>
          <w:rFonts w:eastAsia="Times New Roman"/>
        </w:rPr>
        <w:t xml:space="preserve"> </w:t>
      </w:r>
      <w:r w:rsidR="008C0740">
        <w:rPr>
          <w:rFonts w:eastAsia="Times New Roman"/>
        </w:rPr>
        <w:t>översikt</w:t>
      </w:r>
      <w:r w:rsidR="008C0740" w:rsidRPr="008C0740">
        <w:rPr>
          <w:rFonts w:eastAsia="Times New Roman"/>
        </w:rPr>
        <w:t xml:space="preserve"> </w:t>
      </w:r>
      <w:r w:rsidR="008C0740">
        <w:rPr>
          <w:rFonts w:eastAsia="Times New Roman"/>
        </w:rPr>
        <w:t xml:space="preserve">värd namnet är utbredd, men som nämnts i ett tidigare avsnitt kan man i konfigurativa synteser resonera på ett annat sätt. </w:t>
      </w:r>
      <w:r w:rsidR="00904F07">
        <w:rPr>
          <w:rFonts w:eastAsia="Times New Roman"/>
        </w:rPr>
        <w:t>Slutligen bör</w:t>
      </w:r>
      <w:r w:rsidR="00804936">
        <w:rPr>
          <w:rFonts w:eastAsia="Times New Roman"/>
        </w:rPr>
        <w:t>,</w:t>
      </w:r>
      <w:r w:rsidR="00904F07">
        <w:rPr>
          <w:rFonts w:eastAsia="Times New Roman"/>
        </w:rPr>
        <w:t xml:space="preserve"> </w:t>
      </w:r>
      <w:r w:rsidR="00804936">
        <w:rPr>
          <w:rFonts w:eastAsia="Times New Roman"/>
        </w:rPr>
        <w:t xml:space="preserve">i </w:t>
      </w:r>
      <w:r w:rsidR="00904F07">
        <w:rPr>
          <w:rFonts w:eastAsia="Times New Roman"/>
        </w:rPr>
        <w:t xml:space="preserve">såväl kvantitativa som kvalitativa </w:t>
      </w:r>
      <w:r w:rsidR="00904F07" w:rsidRPr="00904F07">
        <w:rPr>
          <w:rFonts w:eastAsia="Times New Roman"/>
        </w:rPr>
        <w:t>översik</w:t>
      </w:r>
      <w:r w:rsidR="00804936">
        <w:rPr>
          <w:rFonts w:eastAsia="Times New Roman"/>
        </w:rPr>
        <w:t>ter, klarhet råda om en eventuell ambition</w:t>
      </w:r>
      <w:r w:rsidR="00AB41BA">
        <w:rPr>
          <w:rFonts w:eastAsia="Times New Roman"/>
        </w:rPr>
        <w:t xml:space="preserve"> att identifiera kunskapsluckor</w:t>
      </w:r>
      <w:r w:rsidR="00804936">
        <w:rPr>
          <w:rFonts w:eastAsia="Times New Roman"/>
        </w:rPr>
        <w:t xml:space="preserve"> i enlighet med den fjärde uppgift </w:t>
      </w:r>
      <w:r w:rsidR="00804936" w:rsidRPr="00804936">
        <w:rPr>
          <w:rFonts w:eastAsia="Times New Roman"/>
        </w:rPr>
        <w:t xml:space="preserve">institutet </w:t>
      </w:r>
      <w:r w:rsidR="00804936">
        <w:rPr>
          <w:rFonts w:eastAsia="Times New Roman"/>
        </w:rPr>
        <w:t xml:space="preserve">åläggs i regeringens förordning </w:t>
      </w:r>
      <w:r w:rsidR="00804936">
        <w:t>(</w:t>
      </w:r>
      <w:r w:rsidR="00804936" w:rsidRPr="003A3B55">
        <w:t>SFS 2014:1578</w:t>
      </w:r>
      <w:r w:rsidR="00804936">
        <w:t xml:space="preserve">). I båda </w:t>
      </w:r>
      <w:r w:rsidR="00804936" w:rsidRPr="00F827D0">
        <w:t>översik</w:t>
      </w:r>
      <w:r w:rsidR="00804936">
        <w:t xml:space="preserve">terna nämns ibland att forskningen på olika områden är knapphändig, men om </w:t>
      </w:r>
      <w:r w:rsidR="00193B91">
        <w:t xml:space="preserve">ambitionen är att formulera en agenda för fortsatt forskning bör detta </w:t>
      </w:r>
      <w:r w:rsidR="00AB41BA">
        <w:t xml:space="preserve">framgå </w:t>
      </w:r>
      <w:r w:rsidR="00193B91">
        <w:t>tydligare.</w:t>
      </w:r>
    </w:p>
    <w:p w14:paraId="63B41888" w14:textId="77777777" w:rsidR="00193B91" w:rsidRDefault="00193B91" w:rsidP="00A11322"/>
    <w:p w14:paraId="0F1DF2F3" w14:textId="77777777" w:rsidR="00D0504D" w:rsidRDefault="00D0504D" w:rsidP="00D0504D">
      <w:pPr>
        <w:rPr>
          <w:rFonts w:eastAsia="Times New Roman"/>
        </w:rPr>
      </w:pPr>
      <w:r>
        <w:rPr>
          <w:rFonts w:eastAsia="Times New Roman"/>
        </w:rPr>
        <w:t xml:space="preserve">En viktig slutsats av min läsning av </w:t>
      </w:r>
      <w:r w:rsidRPr="00035969">
        <w:rPr>
          <w:rFonts w:eastAsia="Times New Roman"/>
        </w:rPr>
        <w:t>översik</w:t>
      </w:r>
      <w:r>
        <w:rPr>
          <w:rFonts w:eastAsia="Times New Roman"/>
        </w:rPr>
        <w:t>terna är att centrala delar av processen bakom dem endast i mycket begränsad utsträckning har följt formaliserade procedurer. Detta står i strid med det andra ledet i den formulering om “</w:t>
      </w:r>
      <w:r w:rsidRPr="00D0504D">
        <w:rPr>
          <w:rFonts w:eastAsia="Times New Roman"/>
        </w:rPr>
        <w:t>utprä</w:t>
      </w:r>
      <w:r>
        <w:rPr>
          <w:rFonts w:eastAsia="Times New Roman"/>
        </w:rPr>
        <w:t xml:space="preserve">glad systematik och transparens” som avslutar det avsnitt om </w:t>
      </w:r>
      <w:r w:rsidRPr="00D0504D">
        <w:rPr>
          <w:rFonts w:eastAsia="Times New Roman"/>
        </w:rPr>
        <w:t xml:space="preserve">systematiska översikter </w:t>
      </w:r>
      <w:r>
        <w:rPr>
          <w:rFonts w:eastAsia="Times New Roman"/>
        </w:rPr>
        <w:t xml:space="preserve">som återkommer i vardera av de tre rapporterna. </w:t>
      </w:r>
      <w:r w:rsidR="00437D63">
        <w:rPr>
          <w:rFonts w:eastAsia="Times New Roman"/>
        </w:rPr>
        <w:t xml:space="preserve">Inte bara inom evidensrörelsen, utan i de flesta samhällssektorer, brukar bristande transparens uppfattas som ett allvarligt problem. </w:t>
      </w:r>
      <w:r w:rsidR="00840D05">
        <w:rPr>
          <w:rFonts w:eastAsia="Times New Roman"/>
        </w:rPr>
        <w:t xml:space="preserve">Det är dock min övertygelse att de krav på transparenta, explicita metoder som inte minst ställs på </w:t>
      </w:r>
      <w:r w:rsidR="00840D05" w:rsidRPr="00840D05">
        <w:rPr>
          <w:rFonts w:eastAsia="Times New Roman"/>
        </w:rPr>
        <w:t xml:space="preserve">översikter </w:t>
      </w:r>
      <w:r w:rsidR="00840D05">
        <w:rPr>
          <w:rFonts w:eastAsia="Times New Roman"/>
        </w:rPr>
        <w:t xml:space="preserve">av </w:t>
      </w:r>
      <w:r w:rsidR="00840D05" w:rsidRPr="00840D05">
        <w:rPr>
          <w:rFonts w:eastAsia="Times New Roman"/>
        </w:rPr>
        <w:t xml:space="preserve">vetenskaplig </w:t>
      </w:r>
      <w:r w:rsidR="00840D05">
        <w:rPr>
          <w:rFonts w:eastAsia="Times New Roman"/>
        </w:rPr>
        <w:t>litteratur är förknippade med en övertro på värdet av formaliserade procedurer. Formalisering fyller tveklöst en viktig i funktion i otaliga sammanhang, i samhället i stort likaväl som inom forskarsamfundet, men skapar också problem.</w:t>
      </w:r>
    </w:p>
    <w:p w14:paraId="0AFE0A14" w14:textId="77777777" w:rsidR="00D0504D" w:rsidRDefault="00D0504D" w:rsidP="00D0504D">
      <w:pPr>
        <w:rPr>
          <w:rFonts w:eastAsia="Times New Roman"/>
        </w:rPr>
      </w:pPr>
    </w:p>
    <w:p w14:paraId="4ED564C7" w14:textId="77777777" w:rsidR="00220205" w:rsidRPr="00925405" w:rsidRDefault="00DD46BC" w:rsidP="00220205">
      <w:pPr>
        <w:rPr>
          <w:rFonts w:eastAsia="Times New Roman"/>
        </w:rPr>
      </w:pPr>
      <w:r>
        <w:rPr>
          <w:rFonts w:eastAsia="Times New Roman"/>
        </w:rPr>
        <w:t xml:space="preserve">De tolkningar av forskningsresultat som redovisas i </w:t>
      </w:r>
      <w:r w:rsidRPr="00DD46BC">
        <w:rPr>
          <w:rFonts w:eastAsia="Times New Roman"/>
        </w:rPr>
        <w:t>Skolf</w:t>
      </w:r>
      <w:r>
        <w:rPr>
          <w:rFonts w:eastAsia="Times New Roman"/>
        </w:rPr>
        <w:t xml:space="preserve">orskningsinstitutets </w:t>
      </w:r>
      <w:r w:rsidRPr="00DD46BC">
        <w:rPr>
          <w:rFonts w:eastAsia="Times New Roman"/>
        </w:rPr>
        <w:t xml:space="preserve">systematiska översikter </w:t>
      </w:r>
      <w:r>
        <w:rPr>
          <w:rFonts w:eastAsia="Times New Roman"/>
        </w:rPr>
        <w:t xml:space="preserve">kan </w:t>
      </w:r>
      <w:r w:rsidR="00925405">
        <w:rPr>
          <w:rFonts w:eastAsia="Times New Roman"/>
        </w:rPr>
        <w:t>tjäna</w:t>
      </w:r>
      <w:r>
        <w:rPr>
          <w:rFonts w:eastAsia="Times New Roman"/>
        </w:rPr>
        <w:t xml:space="preserve"> som exempel. </w:t>
      </w:r>
      <w:r w:rsidR="00220205">
        <w:rPr>
          <w:rFonts w:eastAsia="Times New Roman"/>
        </w:rPr>
        <w:t>Mycket tyder på att det konfigurerande som ingått i orsaksanalyser och i sammanfogandet av begrepp och resultat från olika studier kräver en djup förtrogenhet med de fält från vilka öv</w:t>
      </w:r>
      <w:r w:rsidR="00925405">
        <w:rPr>
          <w:rFonts w:eastAsia="Times New Roman"/>
        </w:rPr>
        <w:t xml:space="preserve">ersiktens underlag har hämtats, och det </w:t>
      </w:r>
      <w:r w:rsidR="00220205">
        <w:rPr>
          <w:rFonts w:eastAsia="Times New Roman"/>
        </w:rPr>
        <w:t xml:space="preserve">finns skäl att anta att de externa forskarnas kompetens har varit avgörande i arbetet med </w:t>
      </w:r>
      <w:r w:rsidR="00220205" w:rsidRPr="00220205">
        <w:rPr>
          <w:rFonts w:eastAsia="Times New Roman"/>
        </w:rPr>
        <w:t>översik</w:t>
      </w:r>
      <w:r w:rsidR="00220205">
        <w:rPr>
          <w:rFonts w:eastAsia="Times New Roman"/>
        </w:rPr>
        <w:t xml:space="preserve">terna. </w:t>
      </w:r>
      <w:r w:rsidR="00734C3F">
        <w:rPr>
          <w:rFonts w:eastAsia="Times New Roman"/>
        </w:rPr>
        <w:t xml:space="preserve">Detta kan uppfattas som en allvarlig svaghet. </w:t>
      </w:r>
      <w:r w:rsidR="00E80314">
        <w:rPr>
          <w:rFonts w:eastAsia="Times New Roman"/>
        </w:rPr>
        <w:t>Mot det förfarande som har tillämpats kan man, med</w:t>
      </w:r>
      <w:r w:rsidR="00925405">
        <w:rPr>
          <w:rFonts w:eastAsia="Times New Roman"/>
        </w:rPr>
        <w:t xml:space="preserve"> </w:t>
      </w:r>
      <w:r w:rsidR="00E80314">
        <w:rPr>
          <w:rFonts w:eastAsia="Times New Roman"/>
        </w:rPr>
        <w:t xml:space="preserve">stöd i argument som förs fram i EPPI-gruppens bok, invända att läsare av </w:t>
      </w:r>
      <w:r w:rsidR="00E80314" w:rsidRPr="00E80314">
        <w:rPr>
          <w:rFonts w:eastAsia="Times New Roman"/>
        </w:rPr>
        <w:t>översik</w:t>
      </w:r>
      <w:r w:rsidR="00E80314">
        <w:rPr>
          <w:rFonts w:eastAsia="Times New Roman"/>
        </w:rPr>
        <w:t xml:space="preserve">terna inte </w:t>
      </w:r>
      <w:r w:rsidR="00925405">
        <w:rPr>
          <w:rFonts w:eastAsia="Times New Roman"/>
        </w:rPr>
        <w:t xml:space="preserve">kan veta </w:t>
      </w:r>
      <w:r w:rsidR="00726621">
        <w:rPr>
          <w:rFonts w:eastAsia="Times New Roman"/>
        </w:rPr>
        <w:t xml:space="preserve">vilken kompetens de </w:t>
      </w:r>
      <w:r w:rsidR="00726621" w:rsidRPr="00726621">
        <w:rPr>
          <w:rFonts w:eastAsia="Times New Roman"/>
        </w:rPr>
        <w:t xml:space="preserve">forskare </w:t>
      </w:r>
      <w:r w:rsidR="00726621">
        <w:rPr>
          <w:rFonts w:eastAsia="Times New Roman"/>
        </w:rPr>
        <w:t>besitter som projektgrupperna har rekryterat, vilka teoretiska perspektiv de utgår från, eller varför just de har valts ut att medverka (</w:t>
      </w:r>
      <w:r w:rsidR="00726621">
        <w:t xml:space="preserve">Gough, Oliver &amp; </w:t>
      </w:r>
      <w:r w:rsidR="00A50551">
        <w:t>2012</w:t>
      </w:r>
      <w:r w:rsidR="00CE31E6">
        <w:t>b</w:t>
      </w:r>
      <w:r w:rsidR="00A50551">
        <w:t xml:space="preserve">, </w:t>
      </w:r>
      <w:r w:rsidR="00726621">
        <w:t xml:space="preserve">6). </w:t>
      </w:r>
      <w:r w:rsidR="00843A12">
        <w:t>För David Gough och hans medarbetare är detta viktiga skäl till att vad de kallar expert-</w:t>
      </w:r>
      <w:r w:rsidR="00843A12" w:rsidRPr="00F827D0">
        <w:t xml:space="preserve">översikter </w:t>
      </w:r>
      <w:r w:rsidR="00843A12">
        <w:t xml:space="preserve">bör ersättas av explicita och transparenta metoder. Min uppfattning är att värdet av icke-formaliserad kompetens </w:t>
      </w:r>
      <w:r w:rsidR="00A50551">
        <w:t>bör</w:t>
      </w:r>
      <w:r w:rsidR="00843A12">
        <w:t xml:space="preserve"> erkännas, och vetenskapliga experters kunnande låter sig inte formaliseras. Den betydelse omdöme genomgående tillskrivs </w:t>
      </w:r>
      <w:r w:rsidR="00CC2AEF">
        <w:t xml:space="preserve">i EPPI-gruppens bok </w:t>
      </w:r>
      <w:r w:rsidR="00506181">
        <w:t>tyder på</w:t>
      </w:r>
      <w:r w:rsidR="00CC2AEF">
        <w:t xml:space="preserve"> att de i </w:t>
      </w:r>
      <w:r w:rsidR="00843A12">
        <w:t xml:space="preserve">praktiken </w:t>
      </w:r>
      <w:r w:rsidR="00A50551">
        <w:t xml:space="preserve">ofta </w:t>
      </w:r>
      <w:r w:rsidR="00843A12">
        <w:t xml:space="preserve">intar </w:t>
      </w:r>
      <w:r w:rsidR="00A50551">
        <w:t xml:space="preserve">en liknande </w:t>
      </w:r>
      <w:r w:rsidR="00843A12">
        <w:t>hållning</w:t>
      </w:r>
      <w:r w:rsidR="00506181">
        <w:t>; här föreligger en spänning i deras argumentering</w:t>
      </w:r>
      <w:r w:rsidR="00CC2AEF">
        <w:t xml:space="preserve">. </w:t>
      </w:r>
      <w:r w:rsidR="00506181">
        <w:t>Oavsett EPPI-gruppens s</w:t>
      </w:r>
      <w:r w:rsidR="00A50551">
        <w:t>tåndpunkt</w:t>
      </w:r>
      <w:r w:rsidR="00506181">
        <w:t xml:space="preserve"> anser jag att samarbetet </w:t>
      </w:r>
      <w:r w:rsidR="00044254">
        <w:t xml:space="preserve">med externa forskare är en </w:t>
      </w:r>
      <w:r w:rsidR="00A50551">
        <w:t>väsentlig</w:t>
      </w:r>
      <w:r w:rsidR="00044254">
        <w:t xml:space="preserve"> komponent av Skolforskningsinstitutets verksamhet med </w:t>
      </w:r>
      <w:r w:rsidR="00044254" w:rsidRPr="00F827D0">
        <w:t>översik</w:t>
      </w:r>
      <w:r w:rsidR="00044254">
        <w:t>ter</w:t>
      </w:r>
      <w:r w:rsidR="00A50551">
        <w:t>.</w:t>
      </w:r>
      <w:r w:rsidR="00044254">
        <w:t xml:space="preserve"> </w:t>
      </w:r>
      <w:r w:rsidR="00506181">
        <w:t xml:space="preserve">Sådant samarbete </w:t>
      </w:r>
      <w:r w:rsidR="00044254">
        <w:t xml:space="preserve">bör </w:t>
      </w:r>
      <w:r w:rsidR="00506181">
        <w:t>fortsätta</w:t>
      </w:r>
      <w:r w:rsidR="00044254">
        <w:t xml:space="preserve">, men </w:t>
      </w:r>
      <w:r w:rsidR="00506181">
        <w:t xml:space="preserve">det finns skäl att ge </w:t>
      </w:r>
      <w:r w:rsidR="00044254" w:rsidRPr="00E37394">
        <w:rPr>
          <w:rFonts w:eastAsia="Times New Roman"/>
        </w:rPr>
        <w:t>information</w:t>
      </w:r>
      <w:r w:rsidR="00044254">
        <w:rPr>
          <w:rFonts w:eastAsia="Times New Roman"/>
        </w:rPr>
        <w:t xml:space="preserve"> </w:t>
      </w:r>
      <w:r w:rsidR="00044254">
        <w:t>om forskarnas kompetens och teoretiska orientering.</w:t>
      </w:r>
    </w:p>
    <w:p w14:paraId="6B87F304" w14:textId="77777777" w:rsidR="00044254" w:rsidRDefault="00044254" w:rsidP="00A11322">
      <w:pPr>
        <w:rPr>
          <w:rFonts w:eastAsia="Times New Roman"/>
        </w:rPr>
      </w:pPr>
    </w:p>
    <w:p w14:paraId="5982E0A7" w14:textId="77777777" w:rsidR="00A50551" w:rsidRDefault="00CD0B73" w:rsidP="00A11322">
      <w:r>
        <w:rPr>
          <w:rFonts w:eastAsia="Times New Roman"/>
        </w:rPr>
        <w:t xml:space="preserve">Avslutningsvis vill jag </w:t>
      </w:r>
      <w:r w:rsidR="00AC7DA1">
        <w:rPr>
          <w:rFonts w:eastAsia="Times New Roman"/>
        </w:rPr>
        <w:t xml:space="preserve">säga några ord om hur </w:t>
      </w:r>
      <w:r w:rsidR="00AC7DA1" w:rsidRPr="00AC7DA1">
        <w:rPr>
          <w:rFonts w:eastAsia="Times New Roman"/>
        </w:rPr>
        <w:t>Skolf</w:t>
      </w:r>
      <w:r w:rsidR="00AC7DA1">
        <w:rPr>
          <w:rFonts w:eastAsia="Times New Roman"/>
        </w:rPr>
        <w:t xml:space="preserve">orskningsinstitutets </w:t>
      </w:r>
      <w:r w:rsidR="00AC7DA1" w:rsidRPr="00AC7DA1">
        <w:rPr>
          <w:rFonts w:eastAsia="Times New Roman"/>
        </w:rPr>
        <w:t xml:space="preserve">översikter </w:t>
      </w:r>
      <w:r w:rsidR="00AC7DA1">
        <w:rPr>
          <w:rFonts w:eastAsia="Times New Roman"/>
        </w:rPr>
        <w:t xml:space="preserve">förhåller sig till konceptet </w:t>
      </w:r>
      <w:r w:rsidR="00AC7DA1" w:rsidRPr="00AC7DA1">
        <w:rPr>
          <w:rFonts w:eastAsia="Times New Roman"/>
        </w:rPr>
        <w:t xml:space="preserve">evidensbaserad </w:t>
      </w:r>
      <w:r w:rsidR="00AC7DA1">
        <w:rPr>
          <w:rFonts w:eastAsia="Times New Roman"/>
        </w:rPr>
        <w:t xml:space="preserve">praktik. Institutets inrättande kan utan tvekan betraktas som ett uttryck för att evidensrörelsen och fältet </w:t>
      </w:r>
      <w:r w:rsidR="00AC7DA1" w:rsidRPr="00AC7DA1">
        <w:rPr>
          <w:rFonts w:eastAsia="Times New Roman"/>
        </w:rPr>
        <w:t xml:space="preserve">research synthesis </w:t>
      </w:r>
      <w:r w:rsidR="00AC7DA1">
        <w:rPr>
          <w:rFonts w:eastAsia="Times New Roman"/>
        </w:rPr>
        <w:t xml:space="preserve">även i Sverige fortsätter att stärka sin ställning. Att institutets </w:t>
      </w:r>
      <w:r w:rsidR="00AC7DA1" w:rsidRPr="00AC7DA1">
        <w:rPr>
          <w:rFonts w:eastAsia="Times New Roman"/>
        </w:rPr>
        <w:t xml:space="preserve">systematiska översikter </w:t>
      </w:r>
      <w:r w:rsidR="00AC7DA1">
        <w:rPr>
          <w:rFonts w:eastAsia="Times New Roman"/>
        </w:rPr>
        <w:t xml:space="preserve">är knutna till en ambition att, med </w:t>
      </w:r>
      <w:r w:rsidR="00AC7DA1">
        <w:t xml:space="preserve">Adolfsson, Forsberg och Sundbergs </w:t>
      </w:r>
      <w:r w:rsidR="00507F3F">
        <w:t>formulering</w:t>
      </w:r>
      <w:r w:rsidR="00BC0245">
        <w:t xml:space="preserve"> (2018, 96)</w:t>
      </w:r>
      <w:r w:rsidR="00AC7DA1">
        <w:t>, “</w:t>
      </w:r>
      <w:r w:rsidR="00AC7DA1" w:rsidRPr="00CE5899">
        <w:t>få forskni</w:t>
      </w:r>
      <w:r w:rsidR="00AC7DA1">
        <w:t xml:space="preserve">ngen </w:t>
      </w:r>
      <w:r w:rsidR="00AC7DA1" w:rsidRPr="00CE5899">
        <w:t>att nå ända in i klassrummet</w:t>
      </w:r>
      <w:r w:rsidR="00AC7DA1">
        <w:t xml:space="preserve">” är lika tydligt. </w:t>
      </w:r>
      <w:r w:rsidR="00507F3F">
        <w:t xml:space="preserve">Härav följer dock inte att </w:t>
      </w:r>
      <w:r w:rsidR="00507F3F" w:rsidRPr="00F827D0">
        <w:t>översik</w:t>
      </w:r>
      <w:r w:rsidR="00507F3F">
        <w:t xml:space="preserve">terna bygger på antagandet att resultat av en viss typ av vetenskaplig studie alltid bör överordnas andra kunskapskällor, inklusive lärares </w:t>
      </w:r>
      <w:r w:rsidR="00564D64">
        <w:t xml:space="preserve">erfarenheter och </w:t>
      </w:r>
      <w:r w:rsidR="00507F3F">
        <w:t xml:space="preserve">professionella omdöme. I båda de </w:t>
      </w:r>
      <w:r w:rsidR="00507F3F" w:rsidRPr="00F827D0">
        <w:t xml:space="preserve">översikter </w:t>
      </w:r>
      <w:r w:rsidR="00507F3F">
        <w:t xml:space="preserve">jag har granskat för denna rapport förs nyanserade resonemang om </w:t>
      </w:r>
      <w:r w:rsidR="00364EA6">
        <w:t xml:space="preserve">svårigheten att tillämpa vetenskaplig kunskap i komplexa sociala situationer av det slag </w:t>
      </w:r>
      <w:r w:rsidR="00564D64">
        <w:t>lärare dagligen har att hantera,</w:t>
      </w:r>
      <w:r w:rsidR="00364EA6">
        <w:t xml:space="preserve"> och naiva föreställningar om </w:t>
      </w:r>
      <w:r w:rsidR="00364EA6" w:rsidRPr="00230674">
        <w:rPr>
          <w:rFonts w:eastAsia="Times New Roman"/>
        </w:rPr>
        <w:t xml:space="preserve">evidens </w:t>
      </w:r>
      <w:r w:rsidR="00364EA6">
        <w:t xml:space="preserve">- en term som inte </w:t>
      </w:r>
      <w:r w:rsidR="00564D64">
        <w:t xml:space="preserve">nämns </w:t>
      </w:r>
      <w:r w:rsidR="00364EA6">
        <w:t>i dessa texter</w:t>
      </w:r>
      <w:r w:rsidR="00564D64">
        <w:t xml:space="preserve"> och som knappast skulle fylla någon funktion</w:t>
      </w:r>
      <w:r w:rsidR="00364EA6">
        <w:t xml:space="preserve"> - förekommer inte.</w:t>
      </w:r>
    </w:p>
    <w:p w14:paraId="0CF15EC8" w14:textId="77777777" w:rsidR="00364EA6" w:rsidRDefault="00364EA6" w:rsidP="00A11322"/>
    <w:p w14:paraId="22CDD8A7" w14:textId="77777777" w:rsidR="00364EA6" w:rsidRDefault="00364EA6" w:rsidP="00A11322">
      <w:pPr>
        <w:rPr>
          <w:rFonts w:eastAsia="Times New Roman"/>
        </w:rPr>
      </w:pPr>
    </w:p>
    <w:p w14:paraId="4DFD48C6" w14:textId="77777777" w:rsidR="00C3039C" w:rsidRPr="00C3039C" w:rsidRDefault="00C3039C" w:rsidP="00A11322">
      <w:pPr>
        <w:rPr>
          <w:rFonts w:eastAsia="Times New Roman"/>
          <w:sz w:val="40"/>
          <w:szCs w:val="40"/>
        </w:rPr>
      </w:pPr>
      <w:r w:rsidRPr="00C3039C">
        <w:rPr>
          <w:rFonts w:eastAsia="Times New Roman"/>
          <w:sz w:val="40"/>
          <w:szCs w:val="40"/>
        </w:rPr>
        <w:t>Referenser</w:t>
      </w:r>
    </w:p>
    <w:p w14:paraId="08DDA00F" w14:textId="77777777" w:rsidR="00C3039C" w:rsidRDefault="00C3039C" w:rsidP="00A11322">
      <w:pPr>
        <w:rPr>
          <w:rFonts w:eastAsia="Times New Roman"/>
        </w:rPr>
      </w:pPr>
    </w:p>
    <w:p w14:paraId="395227E8" w14:textId="77777777" w:rsidR="00613A5B" w:rsidRPr="00641845" w:rsidRDefault="00613A5B" w:rsidP="00613A5B">
      <w:pPr>
        <w:rPr>
          <w:rFonts w:eastAsia="Times New Roman"/>
        </w:rPr>
      </w:pPr>
      <w:r>
        <w:rPr>
          <w:rFonts w:eastAsia="Times New Roman"/>
        </w:rPr>
        <w:t xml:space="preserve">Adolfsson, Carl-Henrik, Eva Forsberg &amp; Daniel Sundberg 2018. </w:t>
      </w:r>
      <w:r>
        <w:t xml:space="preserve">När evidensrörelsen kom till den svenska skolan. I: D. Alvunger &amp; N. Wahlström (red), </w:t>
      </w:r>
      <w:r w:rsidRPr="00D8275C">
        <w:rPr>
          <w:i/>
        </w:rPr>
        <w:t>Den evidensbaserade skolan: Svensk skola i skärningspunkten mellan forskning och praktik</w:t>
      </w:r>
      <w:r>
        <w:t>. Stockholm: Natur &amp; Kultur, 71-99.</w:t>
      </w:r>
    </w:p>
    <w:p w14:paraId="1FD1BB8F" w14:textId="77777777" w:rsidR="00613A5B" w:rsidRDefault="00613A5B" w:rsidP="00613A5B"/>
    <w:p w14:paraId="4C153357" w14:textId="77777777" w:rsidR="00613A5B" w:rsidRDefault="00613A5B" w:rsidP="00613A5B">
      <w:r w:rsidRPr="00414779">
        <w:t>Barnett-Page</w:t>
      </w:r>
      <w:r>
        <w:t>,</w:t>
      </w:r>
      <w:r w:rsidRPr="00414779">
        <w:t xml:space="preserve"> Elaine &amp; James Thomas</w:t>
      </w:r>
      <w:r>
        <w:t xml:space="preserve"> 2009. </w:t>
      </w:r>
      <w:r w:rsidRPr="00414779">
        <w:t>Methods for the Synthesis of Qualitative Research: A Critical Review</w:t>
      </w:r>
      <w:r>
        <w:t xml:space="preserve">. </w:t>
      </w:r>
      <w:r w:rsidRPr="00FC2513">
        <w:rPr>
          <w:i/>
        </w:rPr>
        <w:t xml:space="preserve">BMC Medical Research Methodology </w:t>
      </w:r>
      <w:r w:rsidRPr="00414779">
        <w:t>2009, 9:59</w:t>
      </w:r>
      <w:r>
        <w:t>.</w:t>
      </w:r>
    </w:p>
    <w:p w14:paraId="645F7B00" w14:textId="77777777" w:rsidR="00613A5B" w:rsidRDefault="00613A5B" w:rsidP="00613A5B"/>
    <w:p w14:paraId="3DFEAC81" w14:textId="77777777" w:rsidR="00613A5B" w:rsidRDefault="00613A5B" w:rsidP="00613A5B">
      <w:r>
        <w:t xml:space="preserve">Bohlin, Ingemar 2010. Systematiska översikter, vetenskaplig kumulativitet och evidensbaserad pedagogik. </w:t>
      </w:r>
      <w:r w:rsidRPr="008A55F6">
        <w:rPr>
          <w:i/>
        </w:rPr>
        <w:t xml:space="preserve">Pedagogisk forskning i Sverige </w:t>
      </w:r>
      <w:r>
        <w:t>15, 164–</w:t>
      </w:r>
      <w:r w:rsidRPr="008A55F6">
        <w:t>86</w:t>
      </w:r>
      <w:r>
        <w:t>.</w:t>
      </w:r>
    </w:p>
    <w:p w14:paraId="6E2CB437" w14:textId="77777777" w:rsidR="00613A5B" w:rsidRDefault="00613A5B" w:rsidP="00613A5B"/>
    <w:p w14:paraId="440A9CA3" w14:textId="77777777" w:rsidR="00613A5B" w:rsidRDefault="00613A5B" w:rsidP="00613A5B">
      <w:r w:rsidRPr="00CC0E15">
        <w:rPr>
          <w:lang w:val="en-US"/>
        </w:rPr>
        <w:t xml:space="preserve">Bohlin, Ingemar 2012. Formalizing Syntheses of Medical Knowledge: The Rise of Meta-Analysis and Systematic Reviews. </w:t>
      </w:r>
      <w:r w:rsidRPr="005F755D">
        <w:rPr>
          <w:i/>
        </w:rPr>
        <w:t>Perspectives on Science</w:t>
      </w:r>
      <w:r>
        <w:t xml:space="preserve"> 20, 273-309.</w:t>
      </w:r>
    </w:p>
    <w:p w14:paraId="66280064" w14:textId="77777777" w:rsidR="00613A5B" w:rsidRDefault="00613A5B" w:rsidP="00613A5B"/>
    <w:p w14:paraId="27A3DABD" w14:textId="77777777" w:rsidR="00613A5B" w:rsidRDefault="00613A5B" w:rsidP="00613A5B">
      <w:r>
        <w:t xml:space="preserve">Bohlin, Ingemar 2018. </w:t>
      </w:r>
      <w:r w:rsidRPr="0029790C">
        <w:t xml:space="preserve">Från begreppet </w:t>
      </w:r>
      <w:r w:rsidRPr="009F3DA0">
        <w:rPr>
          <w:i/>
        </w:rPr>
        <w:t>evidence</w:t>
      </w:r>
      <w:r w:rsidRPr="0029790C">
        <w:t xml:space="preserve"> till metoder för syntes av kvalitativ utbildningsvetenskaplig kunskap: Formalisering, integration, strategier för generalisering</w:t>
      </w:r>
      <w:r>
        <w:t xml:space="preserve">. I: D. Alvunger &amp; N. Wahlström (red), </w:t>
      </w:r>
      <w:r w:rsidRPr="00D8275C">
        <w:rPr>
          <w:i/>
        </w:rPr>
        <w:t>Den evidensbaserade skolan: Svensk skola i skärningspunkten mellan forskning och praktik</w:t>
      </w:r>
      <w:r>
        <w:t xml:space="preserve">. Stockholm: Natur &amp; Kultur, 171-205. </w:t>
      </w:r>
    </w:p>
    <w:p w14:paraId="540B5967" w14:textId="77777777" w:rsidR="00613A5B" w:rsidRDefault="00613A5B" w:rsidP="00613A5B"/>
    <w:p w14:paraId="5271AEF7" w14:textId="77777777" w:rsidR="00613A5B" w:rsidRDefault="00613A5B" w:rsidP="00613A5B">
      <w:r>
        <w:t xml:space="preserve">Britten, Nicky, Rona Campbell, Catherine Pope, Jenny Donovan, Myfanwy Morgan &amp; Roisin Pill </w:t>
      </w:r>
      <w:r w:rsidRPr="00777CEB">
        <w:t>2002</w:t>
      </w:r>
      <w:r>
        <w:t xml:space="preserve">. Using Meta Ethnography to Synthesise Qualitative Research: A Worked Example. </w:t>
      </w:r>
      <w:r w:rsidRPr="00777CEB">
        <w:rPr>
          <w:i/>
        </w:rPr>
        <w:t xml:space="preserve">Journal of Health Services Research &amp; Policy </w:t>
      </w:r>
      <w:r w:rsidRPr="00777CEB">
        <w:t>7, 209–15</w:t>
      </w:r>
      <w:r>
        <w:t>.</w:t>
      </w:r>
    </w:p>
    <w:p w14:paraId="6E521ECE" w14:textId="77777777" w:rsidR="00613A5B" w:rsidRDefault="00613A5B" w:rsidP="00613A5B"/>
    <w:p w14:paraId="5F74C64F" w14:textId="77777777" w:rsidR="00613A5B" w:rsidRPr="00CC0E15" w:rsidRDefault="00613A5B" w:rsidP="00613A5B">
      <w:pPr>
        <w:rPr>
          <w:lang w:val="en-US"/>
        </w:rPr>
      </w:pPr>
      <w:r w:rsidRPr="00CC0E15">
        <w:rPr>
          <w:lang w:val="en-US"/>
        </w:rPr>
        <w:t>Brunton, Ginny, Claire Stansfield &amp; James Thomas 2012. Finding Relevant Studies. In Gough, Oliver &amp; Thomas 2012a, 107-52.</w:t>
      </w:r>
    </w:p>
    <w:p w14:paraId="1DE8C01C" w14:textId="77777777" w:rsidR="00613A5B" w:rsidRPr="00CC0E15" w:rsidRDefault="00613A5B" w:rsidP="00613A5B">
      <w:pPr>
        <w:rPr>
          <w:lang w:val="en-US"/>
        </w:rPr>
      </w:pPr>
    </w:p>
    <w:p w14:paraId="051EABDF" w14:textId="77777777" w:rsidR="00613A5B" w:rsidRPr="00AA47A6" w:rsidRDefault="00613A5B" w:rsidP="00613A5B">
      <w:r w:rsidRPr="00CC0E15">
        <w:rPr>
          <w:lang w:val="en-US"/>
        </w:rPr>
        <w:t xml:space="preserve">Chalmers, Iain, Harris Cooper &amp; Larry V. Hedges 2002. A Brief History of Research Synthesis. </w:t>
      </w:r>
      <w:r w:rsidRPr="008E2D35">
        <w:rPr>
          <w:i/>
        </w:rPr>
        <w:t xml:space="preserve">Evaluation and the Health Professions </w:t>
      </w:r>
      <w:r w:rsidRPr="008E2D35">
        <w:t>25, 12-37.</w:t>
      </w:r>
    </w:p>
    <w:p w14:paraId="04B4383F" w14:textId="77777777" w:rsidR="00613A5B" w:rsidRDefault="00613A5B" w:rsidP="00613A5B"/>
    <w:p w14:paraId="10DE7F23" w14:textId="77777777" w:rsidR="00613A5B" w:rsidRDefault="00613A5B" w:rsidP="00613A5B">
      <w:r>
        <w:t xml:space="preserve">Cooper Harris 1984. </w:t>
      </w:r>
      <w:r w:rsidRPr="00D0694F">
        <w:rPr>
          <w:i/>
        </w:rPr>
        <w:t>The Integrative Research Review: A Systematic Approach</w:t>
      </w:r>
      <w:r>
        <w:t>. Beverly Hills, CA: Sage.</w:t>
      </w:r>
    </w:p>
    <w:p w14:paraId="42C028AC" w14:textId="77777777" w:rsidR="00613A5B" w:rsidRDefault="00613A5B" w:rsidP="00613A5B"/>
    <w:p w14:paraId="60E528D9" w14:textId="77777777" w:rsidR="00613A5B" w:rsidRPr="00CC0E15" w:rsidRDefault="00613A5B" w:rsidP="00613A5B">
      <w:pPr>
        <w:rPr>
          <w:lang w:val="en-US"/>
        </w:rPr>
      </w:pPr>
      <w:r w:rsidRPr="00CC0E15">
        <w:rPr>
          <w:lang w:val="en-US"/>
        </w:rPr>
        <w:lastRenderedPageBreak/>
        <w:t xml:space="preserve">Cooper, Harris &amp; Larry V. Hedges 2009. Research Synthesis as a Scientific Process. In H. Cooper, L.V. Hedges &amp; J.C. Valentine (eds.), </w:t>
      </w:r>
      <w:r w:rsidRPr="00CC0E15">
        <w:rPr>
          <w:i/>
          <w:lang w:val="en-US"/>
        </w:rPr>
        <w:t>The Handbook of Research Synthesis and Meta-Analysis</w:t>
      </w:r>
      <w:r w:rsidRPr="00CC0E15">
        <w:rPr>
          <w:lang w:val="en-US"/>
        </w:rPr>
        <w:t>. New York: Russell Sage Foundation, 2nd edn., 3-16.</w:t>
      </w:r>
    </w:p>
    <w:p w14:paraId="525CE8EB" w14:textId="77777777" w:rsidR="00613A5B" w:rsidRPr="00CC0E15" w:rsidRDefault="00613A5B" w:rsidP="00613A5B">
      <w:pPr>
        <w:rPr>
          <w:lang w:val="en-US"/>
        </w:rPr>
      </w:pPr>
    </w:p>
    <w:p w14:paraId="51606247" w14:textId="77777777" w:rsidR="00613A5B" w:rsidRPr="00CC0E15" w:rsidRDefault="00613A5B" w:rsidP="00613A5B">
      <w:pPr>
        <w:rPr>
          <w:lang w:val="en-US"/>
        </w:rPr>
      </w:pPr>
      <w:r w:rsidRPr="00CC0E15">
        <w:rPr>
          <w:lang w:val="en-US"/>
        </w:rPr>
        <w:t xml:space="preserve">Evaldsson, Ann-Carita &amp; Claes Nilholm 2009. </w:t>
      </w:r>
      <w:r>
        <w:t xml:space="preserve">Evidensbaserat skolarbete och demokrati: Mobbning som exempel. </w:t>
      </w:r>
      <w:r w:rsidRPr="00CC0E15">
        <w:rPr>
          <w:i/>
          <w:lang w:val="en-US"/>
        </w:rPr>
        <w:t xml:space="preserve">Pedagogisk Forskning i Sverige </w:t>
      </w:r>
      <w:r w:rsidRPr="00CC0E15">
        <w:rPr>
          <w:lang w:val="en-US"/>
        </w:rPr>
        <w:t>14, 65-82.</w:t>
      </w:r>
    </w:p>
    <w:p w14:paraId="79A70EA3" w14:textId="77777777" w:rsidR="00613A5B" w:rsidRPr="00CC0E15" w:rsidRDefault="00613A5B" w:rsidP="00613A5B">
      <w:pPr>
        <w:rPr>
          <w:lang w:val="en-US"/>
        </w:rPr>
      </w:pPr>
    </w:p>
    <w:p w14:paraId="18E9830C" w14:textId="77777777" w:rsidR="00613A5B" w:rsidRDefault="00613A5B" w:rsidP="00613A5B">
      <w:r w:rsidRPr="00CC0E15">
        <w:rPr>
          <w:lang w:val="en-US"/>
        </w:rPr>
        <w:t xml:space="preserve">Feldman, Kenneth A. 1971. Using the work of others: Some Observations on Reviewing and Integrating. </w:t>
      </w:r>
      <w:r w:rsidRPr="003309FA">
        <w:rPr>
          <w:i/>
        </w:rPr>
        <w:t xml:space="preserve">Sociology of Education </w:t>
      </w:r>
      <w:r>
        <w:t>44, 86-102.</w:t>
      </w:r>
    </w:p>
    <w:p w14:paraId="51551257" w14:textId="77777777" w:rsidR="00613A5B" w:rsidRDefault="00613A5B" w:rsidP="00613A5B"/>
    <w:p w14:paraId="47AD692C" w14:textId="77777777" w:rsidR="00613A5B" w:rsidRDefault="00613A5B" w:rsidP="00613A5B">
      <w:r>
        <w:t>Feldman</w:t>
      </w:r>
      <w:r w:rsidRPr="00101767">
        <w:t xml:space="preserve"> </w:t>
      </w:r>
      <w:r>
        <w:t>Kenneth A.</w:t>
      </w:r>
      <w:r w:rsidRPr="00101767">
        <w:t xml:space="preserve"> </w:t>
      </w:r>
      <w:r>
        <w:t xml:space="preserve">&amp; Theodore M. Newcomb 1969. </w:t>
      </w:r>
      <w:r w:rsidRPr="004413A8">
        <w:rPr>
          <w:i/>
        </w:rPr>
        <w:t>The Impact of College on Students</w:t>
      </w:r>
      <w:r>
        <w:t>. San Francisco, CA: Jossey-Bass, 2 vols.</w:t>
      </w:r>
    </w:p>
    <w:p w14:paraId="62A8A775" w14:textId="77777777" w:rsidR="00613A5B" w:rsidRDefault="00613A5B" w:rsidP="00613A5B"/>
    <w:p w14:paraId="7B2D119C" w14:textId="77777777" w:rsidR="00613A5B" w:rsidRDefault="00613A5B" w:rsidP="00613A5B">
      <w:pPr>
        <w:rPr>
          <w:rFonts w:eastAsia="Times New Roman"/>
        </w:rPr>
      </w:pPr>
      <w:r w:rsidRPr="00A37FF9">
        <w:rPr>
          <w:rFonts w:eastAsia="Times New Roman"/>
        </w:rPr>
        <w:t>France, Emma F., Nicola Ring, Rebecca Thomas, Jane Noyes, Margaret</w:t>
      </w:r>
      <w:r>
        <w:rPr>
          <w:rFonts w:eastAsia="Times New Roman"/>
        </w:rPr>
        <w:t xml:space="preserve"> Maxwell &amp; Ruth Jepson 2014. </w:t>
      </w:r>
      <w:r w:rsidRPr="00A37FF9">
        <w:rPr>
          <w:rFonts w:eastAsia="Times New Roman"/>
        </w:rPr>
        <w:t>A Methodological Systematic Review of What’s Wrong with Meta-ethnography</w:t>
      </w:r>
      <w:r>
        <w:rPr>
          <w:rFonts w:eastAsia="Times New Roman"/>
        </w:rPr>
        <w:t xml:space="preserve"> Reporting.</w:t>
      </w:r>
      <w:r w:rsidRPr="00A37FF9">
        <w:rPr>
          <w:rFonts w:eastAsia="Times New Roman"/>
        </w:rPr>
        <w:t xml:space="preserve"> </w:t>
      </w:r>
      <w:r w:rsidRPr="00FD474C">
        <w:rPr>
          <w:rFonts w:eastAsia="Times New Roman"/>
          <w:i/>
        </w:rPr>
        <w:t xml:space="preserve">BMC Medical Research Methodology </w:t>
      </w:r>
      <w:r>
        <w:rPr>
          <w:rFonts w:eastAsia="Times New Roman"/>
        </w:rPr>
        <w:t>14: 119.</w:t>
      </w:r>
    </w:p>
    <w:p w14:paraId="0B099346" w14:textId="77777777" w:rsidR="00613A5B" w:rsidRDefault="00613A5B" w:rsidP="00613A5B">
      <w:pPr>
        <w:rPr>
          <w:rFonts w:eastAsia="Times New Roman"/>
        </w:rPr>
      </w:pPr>
    </w:p>
    <w:p w14:paraId="096392D0" w14:textId="77777777" w:rsidR="00613A5B" w:rsidRPr="00CC0E15" w:rsidRDefault="00613A5B" w:rsidP="00613A5B">
      <w:pPr>
        <w:rPr>
          <w:lang w:val="en-US"/>
        </w:rPr>
      </w:pPr>
      <w:r w:rsidRPr="00CC0E15">
        <w:rPr>
          <w:lang w:val="en-US"/>
        </w:rPr>
        <w:t xml:space="preserve">Glass, Gene V. 1976. Primary, Secondary, and Meta-Analysis of research. </w:t>
      </w:r>
      <w:r w:rsidRPr="00CC0E15">
        <w:rPr>
          <w:i/>
          <w:lang w:val="en-US"/>
        </w:rPr>
        <w:t xml:space="preserve">Educational Researcher </w:t>
      </w:r>
      <w:r w:rsidRPr="00CC0E15">
        <w:rPr>
          <w:lang w:val="en-US"/>
        </w:rPr>
        <w:t>5 (10): 3-8.</w:t>
      </w:r>
    </w:p>
    <w:p w14:paraId="4C03F9BF" w14:textId="77777777" w:rsidR="00613A5B" w:rsidRPr="00CC0E15" w:rsidRDefault="00613A5B" w:rsidP="00613A5B">
      <w:pPr>
        <w:rPr>
          <w:lang w:val="en-US"/>
        </w:rPr>
      </w:pPr>
    </w:p>
    <w:p w14:paraId="4F90F977" w14:textId="77777777" w:rsidR="00613A5B" w:rsidRDefault="00613A5B" w:rsidP="00613A5B">
      <w:r w:rsidRPr="00CC0E15">
        <w:rPr>
          <w:lang w:val="en-US"/>
        </w:rPr>
        <w:t xml:space="preserve">Glass, Gene V. 1977. Integrating Findings: The Meta-Analysis of Research. </w:t>
      </w:r>
      <w:r w:rsidRPr="00D0694F">
        <w:rPr>
          <w:i/>
        </w:rPr>
        <w:t>Review of Research in Education</w:t>
      </w:r>
      <w:r>
        <w:t xml:space="preserve"> 5: 351-379.</w:t>
      </w:r>
    </w:p>
    <w:p w14:paraId="07BF2559" w14:textId="77777777" w:rsidR="00613A5B" w:rsidRDefault="00613A5B" w:rsidP="00613A5B"/>
    <w:p w14:paraId="4B087603" w14:textId="77777777" w:rsidR="00613A5B" w:rsidRDefault="00613A5B" w:rsidP="00613A5B">
      <w:r>
        <w:t xml:space="preserve">Gough, David, Sandy Oliver &amp; James Thomas (eds.) 2012a. </w:t>
      </w:r>
      <w:r w:rsidRPr="004F7C6F">
        <w:rPr>
          <w:i/>
        </w:rPr>
        <w:t>An Introduction to Systematic Reviews</w:t>
      </w:r>
      <w:r>
        <w:t>. London: Sage.</w:t>
      </w:r>
    </w:p>
    <w:p w14:paraId="1EA43126" w14:textId="77777777" w:rsidR="00613A5B" w:rsidRDefault="00613A5B" w:rsidP="00613A5B"/>
    <w:p w14:paraId="1BFE5367" w14:textId="77777777" w:rsidR="00613A5B" w:rsidRPr="00CC0E15" w:rsidRDefault="00613A5B" w:rsidP="00613A5B">
      <w:pPr>
        <w:rPr>
          <w:lang w:val="en-US"/>
        </w:rPr>
      </w:pPr>
      <w:r w:rsidRPr="00CC0E15">
        <w:rPr>
          <w:lang w:val="en-US"/>
        </w:rPr>
        <w:t xml:space="preserve">Gough, David, Sandy Oliver &amp; James Thomas 2012b. </w:t>
      </w:r>
      <w:r>
        <w:t xml:space="preserve">Introducing Systematic Reviews. </w:t>
      </w:r>
      <w:r w:rsidRPr="00CC0E15">
        <w:rPr>
          <w:lang w:val="en-US"/>
        </w:rPr>
        <w:t>In Gough, Oliver &amp; Thomas 2012a, 1-16.</w:t>
      </w:r>
    </w:p>
    <w:p w14:paraId="06D24CAB" w14:textId="77777777" w:rsidR="00613A5B" w:rsidRPr="00CC0E15" w:rsidRDefault="00613A5B" w:rsidP="00613A5B">
      <w:pPr>
        <w:rPr>
          <w:lang w:val="en-US"/>
        </w:rPr>
      </w:pPr>
    </w:p>
    <w:p w14:paraId="4CD40314" w14:textId="77777777" w:rsidR="00613A5B" w:rsidRDefault="00613A5B" w:rsidP="00613A5B">
      <w:r w:rsidRPr="00CC0E15">
        <w:rPr>
          <w:lang w:val="en-US"/>
        </w:rPr>
        <w:t xml:space="preserve">Gough, David &amp; James Thomas 2012a. </w:t>
      </w:r>
      <w:r>
        <w:t>Commonality and Diversity in Reviews. In Gough, Oliver &amp; Thomas 2012a, 35-65.</w:t>
      </w:r>
    </w:p>
    <w:p w14:paraId="7C86F0A0" w14:textId="77777777" w:rsidR="00613A5B" w:rsidRDefault="00613A5B" w:rsidP="00613A5B"/>
    <w:p w14:paraId="5FCA2C93" w14:textId="77777777" w:rsidR="00613A5B" w:rsidRDefault="00613A5B" w:rsidP="00613A5B">
      <w:r>
        <w:t xml:space="preserve">Gough D &amp; Thomas J 2012b. Clarifying Differences Between Review Designs and Methods. </w:t>
      </w:r>
      <w:r w:rsidRPr="00284A86">
        <w:rPr>
          <w:i/>
        </w:rPr>
        <w:t xml:space="preserve">Systematic Reviews </w:t>
      </w:r>
      <w:r>
        <w:t>1:28.</w:t>
      </w:r>
    </w:p>
    <w:p w14:paraId="6A1CE661" w14:textId="77777777" w:rsidR="00613A5B" w:rsidRDefault="00613A5B" w:rsidP="00613A5B"/>
    <w:p w14:paraId="71BF156A" w14:textId="77777777" w:rsidR="00613A5B" w:rsidRDefault="00613A5B" w:rsidP="00613A5B">
      <w:r>
        <w:t>Greenhalgh T, G. Robert, F. Macfarlane, P. Bate, O. Kyriakidou &amp; R. Peacock 2005. Storylines of Research in Diffusion of Innovation: A Meta-</w:t>
      </w:r>
      <w:r>
        <w:lastRenderedPageBreak/>
        <w:t xml:space="preserve">Narrative Approach to Systematic Review. </w:t>
      </w:r>
      <w:r w:rsidRPr="00C229B9">
        <w:rPr>
          <w:i/>
        </w:rPr>
        <w:t xml:space="preserve">Social Science and Medicine </w:t>
      </w:r>
      <w:r>
        <w:t>61, 417–430.</w:t>
      </w:r>
    </w:p>
    <w:p w14:paraId="4AA57F37" w14:textId="77777777" w:rsidR="00613A5B" w:rsidRDefault="00613A5B" w:rsidP="00613A5B"/>
    <w:p w14:paraId="4A0E36A0" w14:textId="77777777" w:rsidR="00613A5B" w:rsidRDefault="00613A5B" w:rsidP="00613A5B">
      <w:r>
        <w:t>Kommittédirektiv (2014:7). Inrättande av ett skolforskningsinstitut. Stockholm: Utbildningsdepartementet.</w:t>
      </w:r>
    </w:p>
    <w:p w14:paraId="1E526335" w14:textId="77777777" w:rsidR="00613A5B" w:rsidRDefault="00613A5B" w:rsidP="00613A5B"/>
    <w:p w14:paraId="59B49BE1" w14:textId="77777777" w:rsidR="00613A5B" w:rsidRDefault="00613A5B" w:rsidP="00613A5B">
      <w:r w:rsidRPr="00C963A8">
        <w:t>Noblit</w:t>
      </w:r>
      <w:r>
        <w:t>,</w:t>
      </w:r>
      <w:r w:rsidRPr="00C963A8">
        <w:t xml:space="preserve"> </w:t>
      </w:r>
      <w:r>
        <w:t xml:space="preserve">George W. &amp; R. Dwight </w:t>
      </w:r>
      <w:r w:rsidRPr="00C963A8">
        <w:t>Hare</w:t>
      </w:r>
      <w:r>
        <w:t xml:space="preserve"> 1988. </w:t>
      </w:r>
      <w:r w:rsidRPr="004334CF">
        <w:rPr>
          <w:i/>
        </w:rPr>
        <w:t>Meta-ethnography: Synthesizing qualitative studies</w:t>
      </w:r>
      <w:r>
        <w:t>. Beverly Hills, Cal.</w:t>
      </w:r>
      <w:r w:rsidRPr="00C963A8">
        <w:t>: Sage</w:t>
      </w:r>
      <w:r>
        <w:t>.</w:t>
      </w:r>
    </w:p>
    <w:p w14:paraId="00CCE65A" w14:textId="77777777" w:rsidR="00613A5B" w:rsidRDefault="00613A5B" w:rsidP="00613A5B"/>
    <w:p w14:paraId="4FADB57B" w14:textId="77777777" w:rsidR="00613A5B" w:rsidRPr="00CC0E15" w:rsidRDefault="00613A5B" w:rsidP="00613A5B">
      <w:pPr>
        <w:rPr>
          <w:lang w:val="en-US"/>
        </w:rPr>
      </w:pPr>
      <w:r w:rsidRPr="00CC0E15">
        <w:rPr>
          <w:lang w:val="en-US"/>
        </w:rPr>
        <w:t xml:space="preserve">Norman, I. &amp; P. Griffiths 2014. The Rise and Rise of the Systematic Review. </w:t>
      </w:r>
      <w:r w:rsidRPr="00CC0E15">
        <w:rPr>
          <w:i/>
          <w:lang w:val="en-US"/>
        </w:rPr>
        <w:t xml:space="preserve">International Journal of Nursing Studies </w:t>
      </w:r>
      <w:r w:rsidRPr="00CC0E15">
        <w:rPr>
          <w:lang w:val="en-US"/>
        </w:rPr>
        <w:t>51: 1-3.</w:t>
      </w:r>
    </w:p>
    <w:p w14:paraId="5617FEA8" w14:textId="77777777" w:rsidR="00613A5B" w:rsidRPr="00CC0E15" w:rsidRDefault="00613A5B" w:rsidP="00613A5B">
      <w:pPr>
        <w:rPr>
          <w:lang w:val="en-US"/>
        </w:rPr>
      </w:pPr>
    </w:p>
    <w:p w14:paraId="71916991" w14:textId="77777777" w:rsidR="00613A5B" w:rsidRPr="00CC0E15" w:rsidRDefault="00613A5B" w:rsidP="00613A5B">
      <w:pPr>
        <w:rPr>
          <w:rFonts w:eastAsia="Times New Roman"/>
          <w:lang w:val="en-US"/>
        </w:rPr>
      </w:pPr>
      <w:r w:rsidRPr="00CC0E15">
        <w:rPr>
          <w:rFonts w:eastAsia="Times New Roman"/>
          <w:lang w:val="en-US"/>
        </w:rPr>
        <w:t xml:space="preserve">Pope, Catherine &amp; Nicholas Mays 2006. Synthesising qualitative research. In: Pope &amp; Mays (eds.), </w:t>
      </w:r>
      <w:r w:rsidRPr="00CC0E15">
        <w:rPr>
          <w:rFonts w:eastAsia="Times New Roman"/>
          <w:i/>
          <w:lang w:val="en-US"/>
        </w:rPr>
        <w:t>Qualitative Research in Health Care</w:t>
      </w:r>
      <w:r w:rsidRPr="00CC0E15">
        <w:rPr>
          <w:rFonts w:eastAsia="Times New Roman"/>
          <w:lang w:val="en-US"/>
        </w:rPr>
        <w:t>. Malden, MA: Blackwell, 3rd edn, 142-152.</w:t>
      </w:r>
    </w:p>
    <w:p w14:paraId="728BC726" w14:textId="77777777" w:rsidR="00613A5B" w:rsidRPr="00CC0E15" w:rsidRDefault="00613A5B" w:rsidP="00613A5B">
      <w:pPr>
        <w:rPr>
          <w:rFonts w:eastAsia="Times New Roman"/>
          <w:lang w:val="en-US"/>
        </w:rPr>
      </w:pPr>
    </w:p>
    <w:p w14:paraId="7763F729" w14:textId="77777777" w:rsidR="00613A5B" w:rsidRDefault="00613A5B" w:rsidP="00613A5B">
      <w:pPr>
        <w:rPr>
          <w:rFonts w:eastAsia="Times New Roman"/>
        </w:rPr>
      </w:pPr>
      <w:r>
        <w:rPr>
          <w:rFonts w:eastAsia="Times New Roman"/>
        </w:rPr>
        <w:t>Sandelowski, Margarete &amp; Julie Barroso, 2007</w:t>
      </w:r>
      <w:r w:rsidRPr="007D14A9">
        <w:rPr>
          <w:rFonts w:eastAsia="Times New Roman"/>
        </w:rPr>
        <w:t xml:space="preserve">. </w:t>
      </w:r>
      <w:r w:rsidRPr="00686FB5">
        <w:rPr>
          <w:rFonts w:eastAsia="Times New Roman"/>
          <w:i/>
        </w:rPr>
        <w:t>Handbook for Synthesizing Qualitative Research</w:t>
      </w:r>
      <w:r w:rsidRPr="007D14A9">
        <w:rPr>
          <w:rFonts w:eastAsia="Times New Roman"/>
        </w:rPr>
        <w:t>. New York, NY:</w:t>
      </w:r>
      <w:r>
        <w:rPr>
          <w:rFonts w:eastAsia="Times New Roman"/>
        </w:rPr>
        <w:t xml:space="preserve"> </w:t>
      </w:r>
      <w:r w:rsidRPr="007D14A9">
        <w:rPr>
          <w:rFonts w:eastAsia="Times New Roman"/>
        </w:rPr>
        <w:t>Springer.</w:t>
      </w:r>
    </w:p>
    <w:p w14:paraId="510DD18F" w14:textId="77777777" w:rsidR="00613A5B" w:rsidRDefault="00613A5B" w:rsidP="00613A5B">
      <w:pPr>
        <w:rPr>
          <w:rFonts w:eastAsia="Times New Roman"/>
        </w:rPr>
      </w:pPr>
    </w:p>
    <w:p w14:paraId="1A2D49EC" w14:textId="77777777" w:rsidR="00613A5B" w:rsidRPr="00CC0E15" w:rsidRDefault="00613A5B" w:rsidP="00613A5B">
      <w:pPr>
        <w:rPr>
          <w:rFonts w:eastAsia="Times New Roman"/>
          <w:lang w:val="en-US"/>
        </w:rPr>
      </w:pPr>
      <w:r w:rsidRPr="00CC0E15">
        <w:rPr>
          <w:rFonts w:eastAsia="Times New Roman"/>
          <w:lang w:val="en-US"/>
        </w:rPr>
        <w:t xml:space="preserve">Sandelowski, Margarete, Corrine I. Voils, Jennifer Leeman &amp; Jamie L. Crandlee 2012. Mapping the Mixed Methods–Mixed Research Synthesis Terrain. </w:t>
      </w:r>
      <w:r w:rsidRPr="00CC0E15">
        <w:rPr>
          <w:rFonts w:eastAsia="Times New Roman"/>
          <w:i/>
          <w:lang w:val="en-US"/>
        </w:rPr>
        <w:t xml:space="preserve">Journal of Mixed Methods Research </w:t>
      </w:r>
      <w:r w:rsidRPr="00CC0E15">
        <w:rPr>
          <w:rFonts w:eastAsia="Times New Roman"/>
          <w:lang w:val="en-US"/>
        </w:rPr>
        <w:t>6, 317-331.</w:t>
      </w:r>
    </w:p>
    <w:p w14:paraId="56799695" w14:textId="77777777" w:rsidR="00613A5B" w:rsidRPr="00CC0E15" w:rsidRDefault="00613A5B" w:rsidP="00613A5B">
      <w:pPr>
        <w:rPr>
          <w:rFonts w:eastAsia="Times New Roman"/>
          <w:lang w:val="en-US"/>
        </w:rPr>
      </w:pPr>
    </w:p>
    <w:p w14:paraId="1192C6A5" w14:textId="77777777" w:rsidR="00613A5B" w:rsidRDefault="00613A5B" w:rsidP="00613A5B">
      <w:pPr>
        <w:rPr>
          <w:rFonts w:eastAsia="Times New Roman"/>
        </w:rPr>
      </w:pPr>
      <w:r w:rsidRPr="00CC0E15">
        <w:rPr>
          <w:rFonts w:eastAsia="Times New Roman"/>
          <w:lang w:val="en-US"/>
        </w:rPr>
        <w:t xml:space="preserve">Sandelowski, Margarete, Corrine I. Voils &amp; Julie Barroso 2006. Defining and Designing Mixed Research Synthesis Studies. </w:t>
      </w:r>
      <w:r w:rsidRPr="00420C34">
        <w:rPr>
          <w:rFonts w:eastAsia="Times New Roman"/>
          <w:i/>
        </w:rPr>
        <w:t>Research in the Schools</w:t>
      </w:r>
      <w:r w:rsidRPr="00723D3E">
        <w:rPr>
          <w:rFonts w:eastAsia="Times New Roman"/>
        </w:rPr>
        <w:t xml:space="preserve"> 13, 29-40.</w:t>
      </w:r>
    </w:p>
    <w:p w14:paraId="46DB6CBA" w14:textId="77777777" w:rsidR="00613A5B" w:rsidRPr="00723D3E" w:rsidRDefault="00613A5B" w:rsidP="00613A5B">
      <w:pPr>
        <w:rPr>
          <w:rFonts w:eastAsia="Times New Roman"/>
        </w:rPr>
      </w:pPr>
    </w:p>
    <w:p w14:paraId="6AE6EBAB" w14:textId="77777777" w:rsidR="00613A5B" w:rsidRDefault="00613A5B" w:rsidP="00613A5B">
      <w:r>
        <w:t>SFS 2014:1578. Förordning med instruktion för Skolforskningsinstitutet. Stockholm: Utbildningsdepartementet.</w:t>
      </w:r>
    </w:p>
    <w:p w14:paraId="37EBDFA1" w14:textId="77777777" w:rsidR="00613A5B" w:rsidRDefault="00613A5B" w:rsidP="00613A5B"/>
    <w:p w14:paraId="6EEEFB87" w14:textId="77777777" w:rsidR="00613A5B" w:rsidRDefault="00613A5B" w:rsidP="00613A5B">
      <w:r>
        <w:t>SOU 2014:02. Utredningen om inrättande av ett skolforskningsinstitut. Stockholm: Utbildningsdepartementet</w:t>
      </w:r>
    </w:p>
    <w:p w14:paraId="6134544A" w14:textId="77777777" w:rsidR="00613A5B" w:rsidRDefault="00613A5B" w:rsidP="00613A5B"/>
    <w:p w14:paraId="2F928A9A" w14:textId="77777777" w:rsidR="00613A5B" w:rsidRPr="00CC0E15" w:rsidRDefault="00613A5B" w:rsidP="00613A5B">
      <w:pPr>
        <w:rPr>
          <w:rFonts w:eastAsia="Times New Roman"/>
          <w:lang w:val="en-US"/>
        </w:rPr>
      </w:pPr>
      <w:r w:rsidRPr="00CC0E15">
        <w:rPr>
          <w:rFonts w:eastAsia="Times New Roman"/>
          <w:lang w:val="en-US"/>
        </w:rPr>
        <w:t xml:space="preserve">Thomas, James, Angela Harden &amp; Mark Newman 2012. Synthesis: Combining Results Systematically and Appropriately. </w:t>
      </w:r>
      <w:r w:rsidRPr="00CC0E15">
        <w:rPr>
          <w:lang w:val="en-US"/>
        </w:rPr>
        <w:t>In Gough, Oliver &amp; Thomas 2012a,  179-226.</w:t>
      </w:r>
    </w:p>
    <w:p w14:paraId="23DC091E" w14:textId="77777777" w:rsidR="00613A5B" w:rsidRPr="00CC0E15" w:rsidRDefault="00613A5B" w:rsidP="00613A5B">
      <w:pPr>
        <w:rPr>
          <w:rFonts w:eastAsia="Times New Roman"/>
          <w:lang w:val="en-US"/>
        </w:rPr>
      </w:pPr>
    </w:p>
    <w:p w14:paraId="4B568F33" w14:textId="77777777" w:rsidR="00613A5B" w:rsidRPr="00CC0E15" w:rsidRDefault="00613A5B" w:rsidP="00613A5B">
      <w:pPr>
        <w:rPr>
          <w:lang w:val="en-US"/>
        </w:rPr>
      </w:pPr>
      <w:r w:rsidRPr="00CC0E15">
        <w:rPr>
          <w:lang w:val="en-US"/>
        </w:rPr>
        <w:t xml:space="preserve">Tricco AC, Soobiah C, Antony J, Cogo E et al. 2016. A Scoping Review Identifies Multiple Emerging Knowledge Synthesis Methods, But Few Studies Operationalize the Method. </w:t>
      </w:r>
      <w:r w:rsidRPr="00CC0E15">
        <w:rPr>
          <w:i/>
          <w:lang w:val="en-US"/>
        </w:rPr>
        <w:t>Journal of Clinical Epidemiology</w:t>
      </w:r>
      <w:r w:rsidRPr="00CC0E15">
        <w:rPr>
          <w:lang w:val="en-US"/>
        </w:rPr>
        <w:t xml:space="preserve"> 73: 19-28.</w:t>
      </w:r>
    </w:p>
    <w:p w14:paraId="52C0866C" w14:textId="77777777" w:rsidR="00613A5B" w:rsidRPr="00CC0E15" w:rsidRDefault="00613A5B" w:rsidP="00613A5B">
      <w:pPr>
        <w:rPr>
          <w:lang w:val="en-US"/>
        </w:rPr>
      </w:pPr>
    </w:p>
    <w:p w14:paraId="3EF1B07B" w14:textId="77777777" w:rsidR="00613A5B" w:rsidRDefault="00613A5B" w:rsidP="00613A5B">
      <w:pPr>
        <w:rPr>
          <w:rFonts w:eastAsia="Times New Roman"/>
        </w:rPr>
      </w:pPr>
      <w:r w:rsidRPr="00CC0E15">
        <w:rPr>
          <w:rFonts w:eastAsia="Times New Roman"/>
          <w:lang w:val="en-US"/>
        </w:rPr>
        <w:lastRenderedPageBreak/>
        <w:t xml:space="preserve">Voils, Corrine I., Margarete Sandelowski, Julie Barroso &amp; Victor Hasselblad 2008. Making Sense of Qualitative and Quantitative Research Findings in Mixed Research Synthesis Studies. </w:t>
      </w:r>
      <w:r w:rsidRPr="00DD7EC4">
        <w:rPr>
          <w:rFonts w:eastAsia="Times New Roman"/>
          <w:i/>
        </w:rPr>
        <w:t xml:space="preserve">Field Methods </w:t>
      </w:r>
      <w:r w:rsidRPr="00DD7EC4">
        <w:rPr>
          <w:rFonts w:eastAsia="Times New Roman"/>
        </w:rPr>
        <w:t>20, 3-25.</w:t>
      </w:r>
    </w:p>
    <w:p w14:paraId="590C30F4" w14:textId="77777777" w:rsidR="00613A5B" w:rsidRDefault="00613A5B" w:rsidP="00613A5B">
      <w:pPr>
        <w:rPr>
          <w:rFonts w:eastAsia="Times New Roman"/>
        </w:rPr>
      </w:pPr>
    </w:p>
    <w:p w14:paraId="43BEEB6A" w14:textId="77777777" w:rsidR="00C3039C" w:rsidRDefault="00C3039C" w:rsidP="00613A5B">
      <w:pPr>
        <w:rPr>
          <w:rFonts w:eastAsia="Times New Roman"/>
        </w:rPr>
      </w:pPr>
    </w:p>
    <w:sectPr w:rsidR="00C3039C" w:rsidSect="00092125">
      <w:footerReference w:type="default" r:id="rId7"/>
      <w:pgSz w:w="11906" w:h="16838"/>
      <w:pgMar w:top="1417" w:right="1417" w:bottom="1417" w:left="1417" w:header="680"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AB71F" w14:textId="77777777" w:rsidR="00CA1336" w:rsidRDefault="00CA1336" w:rsidP="00C473BC">
      <w:r>
        <w:separator/>
      </w:r>
    </w:p>
  </w:endnote>
  <w:endnote w:type="continuationSeparator" w:id="0">
    <w:p w14:paraId="5E9B8E2E" w14:textId="77777777" w:rsidR="00CA1336" w:rsidRDefault="00CA1336" w:rsidP="00C4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79FF" w14:textId="77777777" w:rsidR="00CA1336" w:rsidRDefault="00CA1336" w:rsidP="00373E31">
    <w:pPr>
      <w:pStyle w:val="Sidfot"/>
      <w:spacing w:before="360"/>
      <w:jc w:val="center"/>
    </w:pPr>
    <w:r>
      <w:fldChar w:fldCharType="begin"/>
    </w:r>
    <w:r>
      <w:instrText>PAGE   \* MERGEFORMAT</w:instrText>
    </w:r>
    <w:r>
      <w:fldChar w:fldCharType="separate"/>
    </w:r>
    <w:r w:rsidR="00A22D6F">
      <w:rPr>
        <w:noProof/>
      </w:rPr>
      <w:t>43</w:t>
    </w:r>
    <w:r>
      <w:fldChar w:fldCharType="end"/>
    </w:r>
  </w:p>
  <w:p w14:paraId="2B961B35" w14:textId="77777777" w:rsidR="00CA1336" w:rsidRDefault="00CA13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65D5" w14:textId="77777777" w:rsidR="00CA1336" w:rsidRDefault="00CA1336" w:rsidP="00C473BC">
      <w:r>
        <w:separator/>
      </w:r>
    </w:p>
  </w:footnote>
  <w:footnote w:type="continuationSeparator" w:id="0">
    <w:p w14:paraId="625F9DBB" w14:textId="77777777" w:rsidR="00CA1336" w:rsidRDefault="00CA1336" w:rsidP="00C473BC">
      <w:r>
        <w:continuationSeparator/>
      </w:r>
    </w:p>
  </w:footnote>
  <w:footnote w:id="1">
    <w:p w14:paraId="4AA9EBAD" w14:textId="77777777" w:rsidR="00CA1336" w:rsidRDefault="00CA1336">
      <w:pPr>
        <w:pStyle w:val="Fotnotstext"/>
      </w:pPr>
      <w:r>
        <w:rPr>
          <w:rStyle w:val="Fotnotsreferens"/>
        </w:rPr>
        <w:footnoteRef/>
      </w:r>
      <w:r>
        <w:t xml:space="preserve"> Noblit &amp; Hare jämställer gång på gång metaanalys med “integrative reviews”, utan att definiera den senare kategorin. Begreppsförvirringen grundar sig i Harris Coopers bruk av termen “integrative </w:t>
      </w:r>
      <w:r w:rsidRPr="00F827D0">
        <w:t xml:space="preserve">research </w:t>
      </w:r>
      <w:r>
        <w:t>review” i den första upplagan av en bok om metaanalys som häromåret gavs ut i en femte upplaga. Noblir &amp; Hare hänvisar till bokens första utgåva, Cooper 1984.</w:t>
      </w:r>
    </w:p>
  </w:footnote>
  <w:footnote w:id="2">
    <w:p w14:paraId="73C32682" w14:textId="13026891" w:rsidR="00CA1336" w:rsidRDefault="00CA1336">
      <w:pPr>
        <w:pStyle w:val="Fotnotstext"/>
      </w:pPr>
      <w:r>
        <w:rPr>
          <w:rStyle w:val="Fotnotsreferens"/>
        </w:rPr>
        <w:footnoteRef/>
      </w:r>
      <w:r>
        <w:t xml:space="preserve"> Boken </w:t>
      </w:r>
      <w:r>
        <w:rPr>
          <w:rFonts w:eastAsia="Times New Roman"/>
        </w:rPr>
        <w:t>gavs år 2017 ut i sin andra upplaga. Jag har använt mig av förstaupplagan.</w:t>
      </w:r>
    </w:p>
  </w:footnote>
  <w:footnote w:id="3">
    <w:p w14:paraId="20A94130" w14:textId="77777777" w:rsidR="00CA1336" w:rsidRDefault="00CA1336">
      <w:pPr>
        <w:pStyle w:val="Fotnotstext"/>
      </w:pPr>
      <w:r>
        <w:rPr>
          <w:rStyle w:val="Fotnotsreferens"/>
        </w:rPr>
        <w:footnoteRef/>
      </w:r>
      <w:r>
        <w:t xml:space="preserve"> Noblit och Hares vederläggande typ av syntes är mycket ovanlig. Författarna till en </w:t>
      </w:r>
      <w:r w:rsidRPr="00F827D0">
        <w:t xml:space="preserve">översikt </w:t>
      </w:r>
      <w:r>
        <w:t>av meta-etnografiska synteser som publicerades för några år sedan var inte bekanta med en enda sådan syntes, med undantag för den Noblit och Hare beskriver i sin bok. France et al. 2014, 3.</w:t>
      </w:r>
    </w:p>
  </w:footnote>
  <w:footnote w:id="4">
    <w:p w14:paraId="1836A0F0" w14:textId="77777777" w:rsidR="00CA1336" w:rsidRDefault="00CA1336">
      <w:pPr>
        <w:pStyle w:val="Fotnotstext"/>
      </w:pPr>
      <w:r>
        <w:rPr>
          <w:rStyle w:val="Fotnotsreferens"/>
        </w:rPr>
        <w:footnoteRef/>
      </w:r>
      <w:r>
        <w:t xml:space="preserve"> Såvida annat ej anges gäller, från och med detta avsnitt, alla sidhänvisningar den av institutets tre rapporter som behandlas i avsnittet ifråga.</w:t>
      </w:r>
    </w:p>
  </w:footnote>
  <w:footnote w:id="5">
    <w:p w14:paraId="02C8CA25" w14:textId="77777777" w:rsidR="00CA1336" w:rsidRDefault="00CA1336">
      <w:pPr>
        <w:pStyle w:val="Fotnotstext"/>
      </w:pPr>
      <w:r>
        <w:rPr>
          <w:rStyle w:val="Fotnotsreferens"/>
        </w:rPr>
        <w:footnoteRef/>
      </w:r>
      <w:r>
        <w:t xml:space="preserve"> Samma metafor används för att beskriva konfigurering i Sandelowski, Voils, Leeman</w:t>
      </w:r>
      <w:r w:rsidRPr="00A817C9">
        <w:t xml:space="preserve"> </w:t>
      </w:r>
      <w:r>
        <w:t xml:space="preserve">&amp; Crandlee 2012, 326, i Gough &amp; Thomas 2012a, 51, och i det avsnitt om värdet av skolforskning och systematiska </w:t>
      </w:r>
      <w:r w:rsidRPr="00F827D0">
        <w:t xml:space="preserve">översikter </w:t>
      </w:r>
      <w:r>
        <w:t xml:space="preserve">som ingår i varje </w:t>
      </w:r>
      <w:r w:rsidRPr="00F827D0">
        <w:t xml:space="preserve">översikt </w:t>
      </w:r>
      <w:r>
        <w:t>från Skolforskningsinstitutet; se översikten om klassrumsdialog, vii.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6A"/>
    <w:rsid w:val="00000DDC"/>
    <w:rsid w:val="00001788"/>
    <w:rsid w:val="00002B78"/>
    <w:rsid w:val="0000422C"/>
    <w:rsid w:val="000064CC"/>
    <w:rsid w:val="00006E41"/>
    <w:rsid w:val="0000755F"/>
    <w:rsid w:val="0001085E"/>
    <w:rsid w:val="00010C3E"/>
    <w:rsid w:val="00011948"/>
    <w:rsid w:val="000120BD"/>
    <w:rsid w:val="000121BC"/>
    <w:rsid w:val="00012E6A"/>
    <w:rsid w:val="00013134"/>
    <w:rsid w:val="00014298"/>
    <w:rsid w:val="0001492A"/>
    <w:rsid w:val="00015318"/>
    <w:rsid w:val="00017D12"/>
    <w:rsid w:val="00017FCC"/>
    <w:rsid w:val="000213BA"/>
    <w:rsid w:val="00022881"/>
    <w:rsid w:val="00023EF9"/>
    <w:rsid w:val="000266CA"/>
    <w:rsid w:val="0002781A"/>
    <w:rsid w:val="000335D8"/>
    <w:rsid w:val="00033E30"/>
    <w:rsid w:val="00034D20"/>
    <w:rsid w:val="00034DB6"/>
    <w:rsid w:val="00035179"/>
    <w:rsid w:val="000357E0"/>
    <w:rsid w:val="0003792C"/>
    <w:rsid w:val="0004106E"/>
    <w:rsid w:val="00042C0B"/>
    <w:rsid w:val="000433B1"/>
    <w:rsid w:val="0004344F"/>
    <w:rsid w:val="000437C0"/>
    <w:rsid w:val="00043B6E"/>
    <w:rsid w:val="00044254"/>
    <w:rsid w:val="00045297"/>
    <w:rsid w:val="00045B83"/>
    <w:rsid w:val="00045E18"/>
    <w:rsid w:val="00050F1F"/>
    <w:rsid w:val="000515A7"/>
    <w:rsid w:val="000519F2"/>
    <w:rsid w:val="000547D6"/>
    <w:rsid w:val="000553C1"/>
    <w:rsid w:val="00056F2C"/>
    <w:rsid w:val="00060F9C"/>
    <w:rsid w:val="00060FF8"/>
    <w:rsid w:val="00063865"/>
    <w:rsid w:val="00065B73"/>
    <w:rsid w:val="000674CD"/>
    <w:rsid w:val="00073E33"/>
    <w:rsid w:val="0007456F"/>
    <w:rsid w:val="00075776"/>
    <w:rsid w:val="00076268"/>
    <w:rsid w:val="000767E4"/>
    <w:rsid w:val="00076BAD"/>
    <w:rsid w:val="00077195"/>
    <w:rsid w:val="00077D63"/>
    <w:rsid w:val="00080406"/>
    <w:rsid w:val="00080B43"/>
    <w:rsid w:val="00081D06"/>
    <w:rsid w:val="00083444"/>
    <w:rsid w:val="00083B78"/>
    <w:rsid w:val="0008434C"/>
    <w:rsid w:val="00084818"/>
    <w:rsid w:val="00092125"/>
    <w:rsid w:val="0009359B"/>
    <w:rsid w:val="00095383"/>
    <w:rsid w:val="00097FE2"/>
    <w:rsid w:val="000A00A0"/>
    <w:rsid w:val="000A2359"/>
    <w:rsid w:val="000A5F67"/>
    <w:rsid w:val="000A7745"/>
    <w:rsid w:val="000B364B"/>
    <w:rsid w:val="000B384D"/>
    <w:rsid w:val="000B563D"/>
    <w:rsid w:val="000B7023"/>
    <w:rsid w:val="000B71D4"/>
    <w:rsid w:val="000C1A7F"/>
    <w:rsid w:val="000C206D"/>
    <w:rsid w:val="000C4087"/>
    <w:rsid w:val="000D14C5"/>
    <w:rsid w:val="000D1AC9"/>
    <w:rsid w:val="000D32F2"/>
    <w:rsid w:val="000D6384"/>
    <w:rsid w:val="000D6A74"/>
    <w:rsid w:val="000D71D5"/>
    <w:rsid w:val="000E0F3B"/>
    <w:rsid w:val="000E160D"/>
    <w:rsid w:val="000E1A62"/>
    <w:rsid w:val="000E1F2F"/>
    <w:rsid w:val="000E2247"/>
    <w:rsid w:val="000E3971"/>
    <w:rsid w:val="000E3F69"/>
    <w:rsid w:val="000E4A3A"/>
    <w:rsid w:val="000E71FE"/>
    <w:rsid w:val="000F0531"/>
    <w:rsid w:val="000F0720"/>
    <w:rsid w:val="000F3B5D"/>
    <w:rsid w:val="000F540F"/>
    <w:rsid w:val="000F56AF"/>
    <w:rsid w:val="000F5B65"/>
    <w:rsid w:val="000F7602"/>
    <w:rsid w:val="000F78D5"/>
    <w:rsid w:val="00100E9D"/>
    <w:rsid w:val="00100FEE"/>
    <w:rsid w:val="0010104E"/>
    <w:rsid w:val="00101F1E"/>
    <w:rsid w:val="0010225C"/>
    <w:rsid w:val="00103CF7"/>
    <w:rsid w:val="001062A8"/>
    <w:rsid w:val="001069E0"/>
    <w:rsid w:val="00114604"/>
    <w:rsid w:val="00114FA1"/>
    <w:rsid w:val="00116791"/>
    <w:rsid w:val="001203D8"/>
    <w:rsid w:val="00120DB6"/>
    <w:rsid w:val="001225F4"/>
    <w:rsid w:val="001244E1"/>
    <w:rsid w:val="00125259"/>
    <w:rsid w:val="00126325"/>
    <w:rsid w:val="00126522"/>
    <w:rsid w:val="00127824"/>
    <w:rsid w:val="00127A8C"/>
    <w:rsid w:val="00130F2A"/>
    <w:rsid w:val="001318BA"/>
    <w:rsid w:val="00132717"/>
    <w:rsid w:val="001349A8"/>
    <w:rsid w:val="00135B87"/>
    <w:rsid w:val="001361BE"/>
    <w:rsid w:val="001362FC"/>
    <w:rsid w:val="0013637D"/>
    <w:rsid w:val="0013778F"/>
    <w:rsid w:val="00140395"/>
    <w:rsid w:val="00140D5D"/>
    <w:rsid w:val="0014473E"/>
    <w:rsid w:val="00146768"/>
    <w:rsid w:val="00146835"/>
    <w:rsid w:val="001468D1"/>
    <w:rsid w:val="00146D78"/>
    <w:rsid w:val="0015042C"/>
    <w:rsid w:val="00152214"/>
    <w:rsid w:val="00157158"/>
    <w:rsid w:val="001573DD"/>
    <w:rsid w:val="0016032D"/>
    <w:rsid w:val="001632A0"/>
    <w:rsid w:val="00165E60"/>
    <w:rsid w:val="00170510"/>
    <w:rsid w:val="001727E3"/>
    <w:rsid w:val="001763DA"/>
    <w:rsid w:val="001805BD"/>
    <w:rsid w:val="001809EB"/>
    <w:rsid w:val="00181430"/>
    <w:rsid w:val="0018301B"/>
    <w:rsid w:val="00183417"/>
    <w:rsid w:val="00184329"/>
    <w:rsid w:val="001846AB"/>
    <w:rsid w:val="00184A45"/>
    <w:rsid w:val="00185CD7"/>
    <w:rsid w:val="00190E9F"/>
    <w:rsid w:val="00192EA4"/>
    <w:rsid w:val="00193919"/>
    <w:rsid w:val="00193B91"/>
    <w:rsid w:val="00195464"/>
    <w:rsid w:val="001956AF"/>
    <w:rsid w:val="00196A03"/>
    <w:rsid w:val="00196FA4"/>
    <w:rsid w:val="0019766D"/>
    <w:rsid w:val="00197EC9"/>
    <w:rsid w:val="001A00A6"/>
    <w:rsid w:val="001A0F95"/>
    <w:rsid w:val="001A1AF1"/>
    <w:rsid w:val="001A2F54"/>
    <w:rsid w:val="001A359C"/>
    <w:rsid w:val="001A5078"/>
    <w:rsid w:val="001A5667"/>
    <w:rsid w:val="001A5EF9"/>
    <w:rsid w:val="001A72BB"/>
    <w:rsid w:val="001B28BF"/>
    <w:rsid w:val="001B3C28"/>
    <w:rsid w:val="001B3CDA"/>
    <w:rsid w:val="001B5828"/>
    <w:rsid w:val="001B5DA0"/>
    <w:rsid w:val="001C07D0"/>
    <w:rsid w:val="001C1A62"/>
    <w:rsid w:val="001C1BA9"/>
    <w:rsid w:val="001C39E6"/>
    <w:rsid w:val="001C539B"/>
    <w:rsid w:val="001C731F"/>
    <w:rsid w:val="001D01AD"/>
    <w:rsid w:val="001D0F69"/>
    <w:rsid w:val="001D4150"/>
    <w:rsid w:val="001D41C0"/>
    <w:rsid w:val="001D4760"/>
    <w:rsid w:val="001D4FFD"/>
    <w:rsid w:val="001D567C"/>
    <w:rsid w:val="001D57F3"/>
    <w:rsid w:val="001E1BBB"/>
    <w:rsid w:val="001E616B"/>
    <w:rsid w:val="001E63D6"/>
    <w:rsid w:val="001E765B"/>
    <w:rsid w:val="001E7916"/>
    <w:rsid w:val="001F01E3"/>
    <w:rsid w:val="001F0D52"/>
    <w:rsid w:val="001F2055"/>
    <w:rsid w:val="001F30CA"/>
    <w:rsid w:val="001F313B"/>
    <w:rsid w:val="001F38A2"/>
    <w:rsid w:val="001F49F0"/>
    <w:rsid w:val="001F5EB0"/>
    <w:rsid w:val="001F6E0C"/>
    <w:rsid w:val="002057B5"/>
    <w:rsid w:val="0020670C"/>
    <w:rsid w:val="00206BE6"/>
    <w:rsid w:val="002070F4"/>
    <w:rsid w:val="00207628"/>
    <w:rsid w:val="00207BAF"/>
    <w:rsid w:val="002131DC"/>
    <w:rsid w:val="00214B77"/>
    <w:rsid w:val="00214F59"/>
    <w:rsid w:val="00215FD0"/>
    <w:rsid w:val="00216D7D"/>
    <w:rsid w:val="00220205"/>
    <w:rsid w:val="00220349"/>
    <w:rsid w:val="002230B9"/>
    <w:rsid w:val="002248EA"/>
    <w:rsid w:val="00227B4F"/>
    <w:rsid w:val="00231269"/>
    <w:rsid w:val="002314C0"/>
    <w:rsid w:val="00231762"/>
    <w:rsid w:val="00232355"/>
    <w:rsid w:val="002336BC"/>
    <w:rsid w:val="002340F2"/>
    <w:rsid w:val="002343A6"/>
    <w:rsid w:val="00234BDF"/>
    <w:rsid w:val="002351F6"/>
    <w:rsid w:val="00235718"/>
    <w:rsid w:val="00236565"/>
    <w:rsid w:val="00236B93"/>
    <w:rsid w:val="00236EA4"/>
    <w:rsid w:val="0023791B"/>
    <w:rsid w:val="002400AB"/>
    <w:rsid w:val="00241DFA"/>
    <w:rsid w:val="002424D5"/>
    <w:rsid w:val="002427D5"/>
    <w:rsid w:val="002436E6"/>
    <w:rsid w:val="00243D05"/>
    <w:rsid w:val="00243F0F"/>
    <w:rsid w:val="002456FC"/>
    <w:rsid w:val="00245737"/>
    <w:rsid w:val="00246B6A"/>
    <w:rsid w:val="002475AE"/>
    <w:rsid w:val="0025144C"/>
    <w:rsid w:val="00251ED9"/>
    <w:rsid w:val="002526C6"/>
    <w:rsid w:val="002548CB"/>
    <w:rsid w:val="002550CB"/>
    <w:rsid w:val="002564BA"/>
    <w:rsid w:val="0025757C"/>
    <w:rsid w:val="00261B9C"/>
    <w:rsid w:val="00261BE1"/>
    <w:rsid w:val="00262D0D"/>
    <w:rsid w:val="0026440B"/>
    <w:rsid w:val="0026589E"/>
    <w:rsid w:val="00266313"/>
    <w:rsid w:val="002663BA"/>
    <w:rsid w:val="00266A28"/>
    <w:rsid w:val="002715D5"/>
    <w:rsid w:val="00273631"/>
    <w:rsid w:val="00273A42"/>
    <w:rsid w:val="00274A7C"/>
    <w:rsid w:val="00275AF8"/>
    <w:rsid w:val="00276E39"/>
    <w:rsid w:val="00280D27"/>
    <w:rsid w:val="00283F47"/>
    <w:rsid w:val="0028479F"/>
    <w:rsid w:val="00285A69"/>
    <w:rsid w:val="002875B4"/>
    <w:rsid w:val="0029035A"/>
    <w:rsid w:val="00291015"/>
    <w:rsid w:val="002917DE"/>
    <w:rsid w:val="00294AA1"/>
    <w:rsid w:val="00294DBF"/>
    <w:rsid w:val="002952F7"/>
    <w:rsid w:val="002959BD"/>
    <w:rsid w:val="00295FCE"/>
    <w:rsid w:val="00296821"/>
    <w:rsid w:val="002A3883"/>
    <w:rsid w:val="002A422F"/>
    <w:rsid w:val="002A4317"/>
    <w:rsid w:val="002A477C"/>
    <w:rsid w:val="002A7B8D"/>
    <w:rsid w:val="002B0785"/>
    <w:rsid w:val="002B0AF2"/>
    <w:rsid w:val="002B1E94"/>
    <w:rsid w:val="002B1F77"/>
    <w:rsid w:val="002B2E49"/>
    <w:rsid w:val="002B3DBC"/>
    <w:rsid w:val="002B3FBA"/>
    <w:rsid w:val="002B56A6"/>
    <w:rsid w:val="002B657A"/>
    <w:rsid w:val="002C123B"/>
    <w:rsid w:val="002C150D"/>
    <w:rsid w:val="002C2347"/>
    <w:rsid w:val="002C3396"/>
    <w:rsid w:val="002C5767"/>
    <w:rsid w:val="002C6931"/>
    <w:rsid w:val="002D0AEB"/>
    <w:rsid w:val="002D10E2"/>
    <w:rsid w:val="002D1F43"/>
    <w:rsid w:val="002D2440"/>
    <w:rsid w:val="002D489A"/>
    <w:rsid w:val="002D4EE2"/>
    <w:rsid w:val="002D6C84"/>
    <w:rsid w:val="002D6EF6"/>
    <w:rsid w:val="002D7F98"/>
    <w:rsid w:val="002E203F"/>
    <w:rsid w:val="002E2CFC"/>
    <w:rsid w:val="002E5D43"/>
    <w:rsid w:val="002E7BEE"/>
    <w:rsid w:val="002F2FDA"/>
    <w:rsid w:val="002F4AA0"/>
    <w:rsid w:val="002F62CE"/>
    <w:rsid w:val="00300D66"/>
    <w:rsid w:val="003016DA"/>
    <w:rsid w:val="0030339B"/>
    <w:rsid w:val="003047A9"/>
    <w:rsid w:val="0030527A"/>
    <w:rsid w:val="00305928"/>
    <w:rsid w:val="00306053"/>
    <w:rsid w:val="00306800"/>
    <w:rsid w:val="003072F0"/>
    <w:rsid w:val="0030748C"/>
    <w:rsid w:val="0030789F"/>
    <w:rsid w:val="003078C9"/>
    <w:rsid w:val="00311177"/>
    <w:rsid w:val="003130D0"/>
    <w:rsid w:val="00314DBB"/>
    <w:rsid w:val="00317264"/>
    <w:rsid w:val="00317D6C"/>
    <w:rsid w:val="0032054B"/>
    <w:rsid w:val="00320BC1"/>
    <w:rsid w:val="00321801"/>
    <w:rsid w:val="00321969"/>
    <w:rsid w:val="00323ED9"/>
    <w:rsid w:val="00324742"/>
    <w:rsid w:val="00324B1D"/>
    <w:rsid w:val="00326AF5"/>
    <w:rsid w:val="00332222"/>
    <w:rsid w:val="00332425"/>
    <w:rsid w:val="003356E5"/>
    <w:rsid w:val="003420E2"/>
    <w:rsid w:val="00342B3F"/>
    <w:rsid w:val="00342F59"/>
    <w:rsid w:val="00344886"/>
    <w:rsid w:val="00344A8D"/>
    <w:rsid w:val="0034522C"/>
    <w:rsid w:val="00351FE6"/>
    <w:rsid w:val="003525B0"/>
    <w:rsid w:val="00352C89"/>
    <w:rsid w:val="00353446"/>
    <w:rsid w:val="003551F6"/>
    <w:rsid w:val="003571AA"/>
    <w:rsid w:val="00360817"/>
    <w:rsid w:val="00362225"/>
    <w:rsid w:val="00364569"/>
    <w:rsid w:val="00364C04"/>
    <w:rsid w:val="00364EA6"/>
    <w:rsid w:val="00366629"/>
    <w:rsid w:val="00367DC2"/>
    <w:rsid w:val="00370011"/>
    <w:rsid w:val="00370FA6"/>
    <w:rsid w:val="00373771"/>
    <w:rsid w:val="00373BB8"/>
    <w:rsid w:val="00373E31"/>
    <w:rsid w:val="003744B6"/>
    <w:rsid w:val="003769B1"/>
    <w:rsid w:val="00377194"/>
    <w:rsid w:val="00380630"/>
    <w:rsid w:val="00380728"/>
    <w:rsid w:val="00380B53"/>
    <w:rsid w:val="0038172D"/>
    <w:rsid w:val="00384942"/>
    <w:rsid w:val="0038528C"/>
    <w:rsid w:val="00385DAE"/>
    <w:rsid w:val="003865A6"/>
    <w:rsid w:val="003875DD"/>
    <w:rsid w:val="0039375F"/>
    <w:rsid w:val="0039526B"/>
    <w:rsid w:val="00395B8C"/>
    <w:rsid w:val="003962CC"/>
    <w:rsid w:val="003963C2"/>
    <w:rsid w:val="003A0441"/>
    <w:rsid w:val="003A0B40"/>
    <w:rsid w:val="003A0CDA"/>
    <w:rsid w:val="003A2362"/>
    <w:rsid w:val="003A26D4"/>
    <w:rsid w:val="003A3B55"/>
    <w:rsid w:val="003A3E76"/>
    <w:rsid w:val="003A7C68"/>
    <w:rsid w:val="003B1438"/>
    <w:rsid w:val="003B1E06"/>
    <w:rsid w:val="003B3F2E"/>
    <w:rsid w:val="003B4361"/>
    <w:rsid w:val="003B5E8E"/>
    <w:rsid w:val="003B6BA6"/>
    <w:rsid w:val="003B7224"/>
    <w:rsid w:val="003B783E"/>
    <w:rsid w:val="003C00D5"/>
    <w:rsid w:val="003C1D53"/>
    <w:rsid w:val="003C1F0A"/>
    <w:rsid w:val="003C3463"/>
    <w:rsid w:val="003C372A"/>
    <w:rsid w:val="003C3F9C"/>
    <w:rsid w:val="003C5BFC"/>
    <w:rsid w:val="003C6AC0"/>
    <w:rsid w:val="003C7DB3"/>
    <w:rsid w:val="003D0224"/>
    <w:rsid w:val="003D1C36"/>
    <w:rsid w:val="003D259D"/>
    <w:rsid w:val="003D437B"/>
    <w:rsid w:val="003D47A2"/>
    <w:rsid w:val="003D5101"/>
    <w:rsid w:val="003D5F60"/>
    <w:rsid w:val="003D6D53"/>
    <w:rsid w:val="003E156A"/>
    <w:rsid w:val="003E3C0B"/>
    <w:rsid w:val="003E40D0"/>
    <w:rsid w:val="003E7680"/>
    <w:rsid w:val="003F0395"/>
    <w:rsid w:val="003F09C7"/>
    <w:rsid w:val="003F1278"/>
    <w:rsid w:val="003F3058"/>
    <w:rsid w:val="003F5E8B"/>
    <w:rsid w:val="003F6262"/>
    <w:rsid w:val="003F6622"/>
    <w:rsid w:val="003F73B4"/>
    <w:rsid w:val="003F7484"/>
    <w:rsid w:val="003F7777"/>
    <w:rsid w:val="003F795E"/>
    <w:rsid w:val="003F7A67"/>
    <w:rsid w:val="00400601"/>
    <w:rsid w:val="00400849"/>
    <w:rsid w:val="00401C99"/>
    <w:rsid w:val="00401CC0"/>
    <w:rsid w:val="00401EE1"/>
    <w:rsid w:val="004020E6"/>
    <w:rsid w:val="00404A9D"/>
    <w:rsid w:val="004070D3"/>
    <w:rsid w:val="00407107"/>
    <w:rsid w:val="00410F7E"/>
    <w:rsid w:val="0041107C"/>
    <w:rsid w:val="00411A35"/>
    <w:rsid w:val="00412A2A"/>
    <w:rsid w:val="00412B06"/>
    <w:rsid w:val="0041445E"/>
    <w:rsid w:val="004165B7"/>
    <w:rsid w:val="00417E36"/>
    <w:rsid w:val="004229AD"/>
    <w:rsid w:val="00423658"/>
    <w:rsid w:val="0042398B"/>
    <w:rsid w:val="004247A1"/>
    <w:rsid w:val="00424C4D"/>
    <w:rsid w:val="00425682"/>
    <w:rsid w:val="0042576A"/>
    <w:rsid w:val="00425CB4"/>
    <w:rsid w:val="0042614C"/>
    <w:rsid w:val="004305C3"/>
    <w:rsid w:val="00435E56"/>
    <w:rsid w:val="0043659A"/>
    <w:rsid w:val="00437D63"/>
    <w:rsid w:val="00440D49"/>
    <w:rsid w:val="00441343"/>
    <w:rsid w:val="00443690"/>
    <w:rsid w:val="00444503"/>
    <w:rsid w:val="00451C6A"/>
    <w:rsid w:val="00451D8D"/>
    <w:rsid w:val="00452308"/>
    <w:rsid w:val="004542EE"/>
    <w:rsid w:val="004571C7"/>
    <w:rsid w:val="00460926"/>
    <w:rsid w:val="004609CE"/>
    <w:rsid w:val="00461477"/>
    <w:rsid w:val="00461862"/>
    <w:rsid w:val="00462864"/>
    <w:rsid w:val="0046479E"/>
    <w:rsid w:val="00465C7D"/>
    <w:rsid w:val="004663DB"/>
    <w:rsid w:val="004734F7"/>
    <w:rsid w:val="004749E5"/>
    <w:rsid w:val="0047530B"/>
    <w:rsid w:val="004804DB"/>
    <w:rsid w:val="004809A3"/>
    <w:rsid w:val="00480C68"/>
    <w:rsid w:val="00481316"/>
    <w:rsid w:val="00482500"/>
    <w:rsid w:val="00482619"/>
    <w:rsid w:val="004826F0"/>
    <w:rsid w:val="004835A6"/>
    <w:rsid w:val="0048377E"/>
    <w:rsid w:val="004844A6"/>
    <w:rsid w:val="00484FED"/>
    <w:rsid w:val="004853E0"/>
    <w:rsid w:val="00486A10"/>
    <w:rsid w:val="00486FDE"/>
    <w:rsid w:val="00487B9D"/>
    <w:rsid w:val="004909A9"/>
    <w:rsid w:val="00491D30"/>
    <w:rsid w:val="0049422F"/>
    <w:rsid w:val="00495696"/>
    <w:rsid w:val="00495A5D"/>
    <w:rsid w:val="004A0F85"/>
    <w:rsid w:val="004A2AA0"/>
    <w:rsid w:val="004A33BB"/>
    <w:rsid w:val="004A4029"/>
    <w:rsid w:val="004A5673"/>
    <w:rsid w:val="004A63FD"/>
    <w:rsid w:val="004A69FB"/>
    <w:rsid w:val="004A6F9F"/>
    <w:rsid w:val="004A6FF6"/>
    <w:rsid w:val="004A7029"/>
    <w:rsid w:val="004A7F93"/>
    <w:rsid w:val="004A7FE5"/>
    <w:rsid w:val="004B1522"/>
    <w:rsid w:val="004B1B91"/>
    <w:rsid w:val="004B1E6F"/>
    <w:rsid w:val="004B4CBA"/>
    <w:rsid w:val="004B5720"/>
    <w:rsid w:val="004B57BA"/>
    <w:rsid w:val="004B58E8"/>
    <w:rsid w:val="004B60BC"/>
    <w:rsid w:val="004B6F72"/>
    <w:rsid w:val="004C0D39"/>
    <w:rsid w:val="004C0E10"/>
    <w:rsid w:val="004C4446"/>
    <w:rsid w:val="004C5FE7"/>
    <w:rsid w:val="004C614B"/>
    <w:rsid w:val="004C6A7E"/>
    <w:rsid w:val="004C6ED3"/>
    <w:rsid w:val="004D023D"/>
    <w:rsid w:val="004D0C8D"/>
    <w:rsid w:val="004D0D50"/>
    <w:rsid w:val="004D1B9B"/>
    <w:rsid w:val="004D2F32"/>
    <w:rsid w:val="004D371D"/>
    <w:rsid w:val="004D37EE"/>
    <w:rsid w:val="004D3A50"/>
    <w:rsid w:val="004D3E96"/>
    <w:rsid w:val="004D536F"/>
    <w:rsid w:val="004D680A"/>
    <w:rsid w:val="004D7504"/>
    <w:rsid w:val="004D7A8F"/>
    <w:rsid w:val="004E2C90"/>
    <w:rsid w:val="004E2F25"/>
    <w:rsid w:val="004E3E62"/>
    <w:rsid w:val="004E649C"/>
    <w:rsid w:val="004E69E5"/>
    <w:rsid w:val="004E7EB0"/>
    <w:rsid w:val="004F0343"/>
    <w:rsid w:val="004F0F06"/>
    <w:rsid w:val="004F2201"/>
    <w:rsid w:val="004F2A27"/>
    <w:rsid w:val="004F3CE4"/>
    <w:rsid w:val="004F4C89"/>
    <w:rsid w:val="004F54A6"/>
    <w:rsid w:val="004F67F0"/>
    <w:rsid w:val="004F6FD6"/>
    <w:rsid w:val="004F7104"/>
    <w:rsid w:val="00500191"/>
    <w:rsid w:val="00500F86"/>
    <w:rsid w:val="005018F2"/>
    <w:rsid w:val="00506181"/>
    <w:rsid w:val="00507F3F"/>
    <w:rsid w:val="005138E7"/>
    <w:rsid w:val="00513F1E"/>
    <w:rsid w:val="00515647"/>
    <w:rsid w:val="00515649"/>
    <w:rsid w:val="00515CB4"/>
    <w:rsid w:val="00517CE2"/>
    <w:rsid w:val="00520904"/>
    <w:rsid w:val="005219BC"/>
    <w:rsid w:val="00522C16"/>
    <w:rsid w:val="005231A2"/>
    <w:rsid w:val="00526DFF"/>
    <w:rsid w:val="00530691"/>
    <w:rsid w:val="005308E9"/>
    <w:rsid w:val="00531D19"/>
    <w:rsid w:val="005326F3"/>
    <w:rsid w:val="00533FBD"/>
    <w:rsid w:val="00535733"/>
    <w:rsid w:val="005407A8"/>
    <w:rsid w:val="00542826"/>
    <w:rsid w:val="00543445"/>
    <w:rsid w:val="005446DF"/>
    <w:rsid w:val="005454EC"/>
    <w:rsid w:val="00545CE5"/>
    <w:rsid w:val="00546F7B"/>
    <w:rsid w:val="00547DB4"/>
    <w:rsid w:val="00551139"/>
    <w:rsid w:val="00551501"/>
    <w:rsid w:val="0055274D"/>
    <w:rsid w:val="00554A0B"/>
    <w:rsid w:val="005550E6"/>
    <w:rsid w:val="00561305"/>
    <w:rsid w:val="00563ACC"/>
    <w:rsid w:val="00564912"/>
    <w:rsid w:val="00564D64"/>
    <w:rsid w:val="005701B3"/>
    <w:rsid w:val="005706B5"/>
    <w:rsid w:val="005708AF"/>
    <w:rsid w:val="00571168"/>
    <w:rsid w:val="00571B8D"/>
    <w:rsid w:val="00572854"/>
    <w:rsid w:val="00572D9F"/>
    <w:rsid w:val="00574E74"/>
    <w:rsid w:val="00577121"/>
    <w:rsid w:val="005772B4"/>
    <w:rsid w:val="0058269B"/>
    <w:rsid w:val="00583237"/>
    <w:rsid w:val="00584364"/>
    <w:rsid w:val="00586DD3"/>
    <w:rsid w:val="00587633"/>
    <w:rsid w:val="005878A2"/>
    <w:rsid w:val="0059485B"/>
    <w:rsid w:val="00594A63"/>
    <w:rsid w:val="0059524D"/>
    <w:rsid w:val="00597280"/>
    <w:rsid w:val="005A0FD3"/>
    <w:rsid w:val="005A22CC"/>
    <w:rsid w:val="005A3CD6"/>
    <w:rsid w:val="005A44F5"/>
    <w:rsid w:val="005A607E"/>
    <w:rsid w:val="005A74C2"/>
    <w:rsid w:val="005B132F"/>
    <w:rsid w:val="005B1CC7"/>
    <w:rsid w:val="005B2422"/>
    <w:rsid w:val="005B6E43"/>
    <w:rsid w:val="005C02C5"/>
    <w:rsid w:val="005C1584"/>
    <w:rsid w:val="005C19BA"/>
    <w:rsid w:val="005C4172"/>
    <w:rsid w:val="005C4455"/>
    <w:rsid w:val="005C4EFD"/>
    <w:rsid w:val="005C5AD0"/>
    <w:rsid w:val="005C5E78"/>
    <w:rsid w:val="005D03DE"/>
    <w:rsid w:val="005D0BAD"/>
    <w:rsid w:val="005D1D60"/>
    <w:rsid w:val="005D1F23"/>
    <w:rsid w:val="005D409C"/>
    <w:rsid w:val="005D4AAD"/>
    <w:rsid w:val="005D76F3"/>
    <w:rsid w:val="005E0B84"/>
    <w:rsid w:val="005E236F"/>
    <w:rsid w:val="005E4D88"/>
    <w:rsid w:val="005E5F7B"/>
    <w:rsid w:val="005F1389"/>
    <w:rsid w:val="005F1A6F"/>
    <w:rsid w:val="005F40E2"/>
    <w:rsid w:val="005F42BE"/>
    <w:rsid w:val="005F4D76"/>
    <w:rsid w:val="005F53FB"/>
    <w:rsid w:val="005F6A8B"/>
    <w:rsid w:val="005F6CCB"/>
    <w:rsid w:val="005F7574"/>
    <w:rsid w:val="005F7636"/>
    <w:rsid w:val="005F7A8B"/>
    <w:rsid w:val="005F7AB8"/>
    <w:rsid w:val="00602077"/>
    <w:rsid w:val="00602C59"/>
    <w:rsid w:val="00602E8E"/>
    <w:rsid w:val="0060364B"/>
    <w:rsid w:val="00605795"/>
    <w:rsid w:val="00611353"/>
    <w:rsid w:val="00612F74"/>
    <w:rsid w:val="00613A5B"/>
    <w:rsid w:val="00613B00"/>
    <w:rsid w:val="00614700"/>
    <w:rsid w:val="00615D7A"/>
    <w:rsid w:val="00616A94"/>
    <w:rsid w:val="00620C24"/>
    <w:rsid w:val="00623701"/>
    <w:rsid w:val="006253B3"/>
    <w:rsid w:val="00626365"/>
    <w:rsid w:val="00626EA2"/>
    <w:rsid w:val="00630127"/>
    <w:rsid w:val="006317DB"/>
    <w:rsid w:val="00631DFE"/>
    <w:rsid w:val="00632015"/>
    <w:rsid w:val="0063349F"/>
    <w:rsid w:val="006355B1"/>
    <w:rsid w:val="00640684"/>
    <w:rsid w:val="006410F7"/>
    <w:rsid w:val="00641638"/>
    <w:rsid w:val="0064203D"/>
    <w:rsid w:val="006432D1"/>
    <w:rsid w:val="00643D68"/>
    <w:rsid w:val="006445F5"/>
    <w:rsid w:val="00645E59"/>
    <w:rsid w:val="00646989"/>
    <w:rsid w:val="00646EF7"/>
    <w:rsid w:val="0064744F"/>
    <w:rsid w:val="00650E81"/>
    <w:rsid w:val="00651B1E"/>
    <w:rsid w:val="0065272C"/>
    <w:rsid w:val="00652A62"/>
    <w:rsid w:val="006539D4"/>
    <w:rsid w:val="00653DF3"/>
    <w:rsid w:val="00655707"/>
    <w:rsid w:val="00656FCB"/>
    <w:rsid w:val="006610FF"/>
    <w:rsid w:val="0066181D"/>
    <w:rsid w:val="0066269B"/>
    <w:rsid w:val="00663278"/>
    <w:rsid w:val="00665933"/>
    <w:rsid w:val="0066787D"/>
    <w:rsid w:val="00670EFA"/>
    <w:rsid w:val="00670FA7"/>
    <w:rsid w:val="00671044"/>
    <w:rsid w:val="00671CF2"/>
    <w:rsid w:val="0067669F"/>
    <w:rsid w:val="00677F6A"/>
    <w:rsid w:val="0068099E"/>
    <w:rsid w:val="00682021"/>
    <w:rsid w:val="006820A2"/>
    <w:rsid w:val="00682BA5"/>
    <w:rsid w:val="00683239"/>
    <w:rsid w:val="00683598"/>
    <w:rsid w:val="00684094"/>
    <w:rsid w:val="00684764"/>
    <w:rsid w:val="00686B64"/>
    <w:rsid w:val="006906C6"/>
    <w:rsid w:val="00695D40"/>
    <w:rsid w:val="00695DEC"/>
    <w:rsid w:val="006970F5"/>
    <w:rsid w:val="0069753E"/>
    <w:rsid w:val="006A0929"/>
    <w:rsid w:val="006A1FAF"/>
    <w:rsid w:val="006A21E7"/>
    <w:rsid w:val="006A5395"/>
    <w:rsid w:val="006A62B6"/>
    <w:rsid w:val="006A77D6"/>
    <w:rsid w:val="006B0CA7"/>
    <w:rsid w:val="006B150D"/>
    <w:rsid w:val="006B1944"/>
    <w:rsid w:val="006B2E84"/>
    <w:rsid w:val="006B2EB3"/>
    <w:rsid w:val="006B2F1D"/>
    <w:rsid w:val="006B3835"/>
    <w:rsid w:val="006B49C1"/>
    <w:rsid w:val="006C171C"/>
    <w:rsid w:val="006C2CD2"/>
    <w:rsid w:val="006C2D85"/>
    <w:rsid w:val="006C5F13"/>
    <w:rsid w:val="006C6476"/>
    <w:rsid w:val="006C7F64"/>
    <w:rsid w:val="006D2ADC"/>
    <w:rsid w:val="006D4C6B"/>
    <w:rsid w:val="006D7611"/>
    <w:rsid w:val="006E0EB2"/>
    <w:rsid w:val="006E1713"/>
    <w:rsid w:val="006E1DC8"/>
    <w:rsid w:val="006E1EE0"/>
    <w:rsid w:val="006E214C"/>
    <w:rsid w:val="006E24CD"/>
    <w:rsid w:val="006E28CB"/>
    <w:rsid w:val="006E3C27"/>
    <w:rsid w:val="006E4084"/>
    <w:rsid w:val="006E40A1"/>
    <w:rsid w:val="006E62AD"/>
    <w:rsid w:val="006E6836"/>
    <w:rsid w:val="006E7D7E"/>
    <w:rsid w:val="006F0982"/>
    <w:rsid w:val="006F164D"/>
    <w:rsid w:val="006F173E"/>
    <w:rsid w:val="006F30BA"/>
    <w:rsid w:val="006F493C"/>
    <w:rsid w:val="006F4AB7"/>
    <w:rsid w:val="006F7B8F"/>
    <w:rsid w:val="006F7D26"/>
    <w:rsid w:val="00700DCC"/>
    <w:rsid w:val="00701838"/>
    <w:rsid w:val="00702793"/>
    <w:rsid w:val="0070348F"/>
    <w:rsid w:val="007040AF"/>
    <w:rsid w:val="007049AD"/>
    <w:rsid w:val="007059DD"/>
    <w:rsid w:val="007067DE"/>
    <w:rsid w:val="0070799B"/>
    <w:rsid w:val="00710D28"/>
    <w:rsid w:val="007113F2"/>
    <w:rsid w:val="00713461"/>
    <w:rsid w:val="00714258"/>
    <w:rsid w:val="00715853"/>
    <w:rsid w:val="007159D2"/>
    <w:rsid w:val="00715B74"/>
    <w:rsid w:val="00716C54"/>
    <w:rsid w:val="00717035"/>
    <w:rsid w:val="0072258E"/>
    <w:rsid w:val="00722620"/>
    <w:rsid w:val="0072399F"/>
    <w:rsid w:val="00726621"/>
    <w:rsid w:val="0072675D"/>
    <w:rsid w:val="00726EF3"/>
    <w:rsid w:val="00726F76"/>
    <w:rsid w:val="007277B7"/>
    <w:rsid w:val="00727A6B"/>
    <w:rsid w:val="00731830"/>
    <w:rsid w:val="00731F4F"/>
    <w:rsid w:val="00732592"/>
    <w:rsid w:val="0073303D"/>
    <w:rsid w:val="007342F2"/>
    <w:rsid w:val="007348CA"/>
    <w:rsid w:val="00734C15"/>
    <w:rsid w:val="00734C3F"/>
    <w:rsid w:val="00735659"/>
    <w:rsid w:val="0073585E"/>
    <w:rsid w:val="00735EEF"/>
    <w:rsid w:val="00737044"/>
    <w:rsid w:val="00737762"/>
    <w:rsid w:val="007377FA"/>
    <w:rsid w:val="0073784B"/>
    <w:rsid w:val="0074487D"/>
    <w:rsid w:val="0074526B"/>
    <w:rsid w:val="00745E5E"/>
    <w:rsid w:val="0074726C"/>
    <w:rsid w:val="007505FB"/>
    <w:rsid w:val="00754A65"/>
    <w:rsid w:val="00755559"/>
    <w:rsid w:val="007560D6"/>
    <w:rsid w:val="0075721B"/>
    <w:rsid w:val="007575D1"/>
    <w:rsid w:val="00760A5D"/>
    <w:rsid w:val="00760AE5"/>
    <w:rsid w:val="00760D54"/>
    <w:rsid w:val="00761502"/>
    <w:rsid w:val="00761C2B"/>
    <w:rsid w:val="00763556"/>
    <w:rsid w:val="00763982"/>
    <w:rsid w:val="007650E8"/>
    <w:rsid w:val="0076698B"/>
    <w:rsid w:val="00766BC3"/>
    <w:rsid w:val="00767242"/>
    <w:rsid w:val="00767B42"/>
    <w:rsid w:val="007704FE"/>
    <w:rsid w:val="00771E0F"/>
    <w:rsid w:val="00772A93"/>
    <w:rsid w:val="007745F7"/>
    <w:rsid w:val="00775154"/>
    <w:rsid w:val="00776B35"/>
    <w:rsid w:val="00776B50"/>
    <w:rsid w:val="00781A83"/>
    <w:rsid w:val="00783FF7"/>
    <w:rsid w:val="00784FC4"/>
    <w:rsid w:val="00785218"/>
    <w:rsid w:val="00790BD5"/>
    <w:rsid w:val="00792B13"/>
    <w:rsid w:val="00792BB4"/>
    <w:rsid w:val="00792F1B"/>
    <w:rsid w:val="0079448A"/>
    <w:rsid w:val="007A013B"/>
    <w:rsid w:val="007A2C0E"/>
    <w:rsid w:val="007A3595"/>
    <w:rsid w:val="007A361F"/>
    <w:rsid w:val="007A7748"/>
    <w:rsid w:val="007B079C"/>
    <w:rsid w:val="007B1865"/>
    <w:rsid w:val="007B258F"/>
    <w:rsid w:val="007B2DCF"/>
    <w:rsid w:val="007B32B9"/>
    <w:rsid w:val="007B65C6"/>
    <w:rsid w:val="007B694A"/>
    <w:rsid w:val="007B7A94"/>
    <w:rsid w:val="007B7C6D"/>
    <w:rsid w:val="007C343B"/>
    <w:rsid w:val="007C4928"/>
    <w:rsid w:val="007C5156"/>
    <w:rsid w:val="007C5228"/>
    <w:rsid w:val="007D10AC"/>
    <w:rsid w:val="007D1FA6"/>
    <w:rsid w:val="007D2137"/>
    <w:rsid w:val="007D266F"/>
    <w:rsid w:val="007D4382"/>
    <w:rsid w:val="007D4ECF"/>
    <w:rsid w:val="007D6B16"/>
    <w:rsid w:val="007D7057"/>
    <w:rsid w:val="007D7F27"/>
    <w:rsid w:val="007E05BF"/>
    <w:rsid w:val="007E0954"/>
    <w:rsid w:val="007E0F47"/>
    <w:rsid w:val="007E6560"/>
    <w:rsid w:val="007E79AE"/>
    <w:rsid w:val="007F2D36"/>
    <w:rsid w:val="007F5F6A"/>
    <w:rsid w:val="0080089F"/>
    <w:rsid w:val="00802723"/>
    <w:rsid w:val="0080404C"/>
    <w:rsid w:val="00804936"/>
    <w:rsid w:val="00805587"/>
    <w:rsid w:val="00805A1D"/>
    <w:rsid w:val="00805BD5"/>
    <w:rsid w:val="00810440"/>
    <w:rsid w:val="00813532"/>
    <w:rsid w:val="00813DA7"/>
    <w:rsid w:val="00813F49"/>
    <w:rsid w:val="00815708"/>
    <w:rsid w:val="00815A46"/>
    <w:rsid w:val="00815E28"/>
    <w:rsid w:val="00815F3E"/>
    <w:rsid w:val="00815FAC"/>
    <w:rsid w:val="00817CF8"/>
    <w:rsid w:val="00820E57"/>
    <w:rsid w:val="008219CF"/>
    <w:rsid w:val="00822B8E"/>
    <w:rsid w:val="00824021"/>
    <w:rsid w:val="00825D19"/>
    <w:rsid w:val="00826543"/>
    <w:rsid w:val="0082756F"/>
    <w:rsid w:val="0082791C"/>
    <w:rsid w:val="00827C2B"/>
    <w:rsid w:val="00833532"/>
    <w:rsid w:val="00833CFD"/>
    <w:rsid w:val="008343D8"/>
    <w:rsid w:val="00835C9F"/>
    <w:rsid w:val="00836E0F"/>
    <w:rsid w:val="00837193"/>
    <w:rsid w:val="00837E87"/>
    <w:rsid w:val="0084078C"/>
    <w:rsid w:val="00840D05"/>
    <w:rsid w:val="00841087"/>
    <w:rsid w:val="00841BE5"/>
    <w:rsid w:val="00843243"/>
    <w:rsid w:val="00843A12"/>
    <w:rsid w:val="00843A5A"/>
    <w:rsid w:val="00844C43"/>
    <w:rsid w:val="00846A1F"/>
    <w:rsid w:val="00847545"/>
    <w:rsid w:val="00847761"/>
    <w:rsid w:val="008529AC"/>
    <w:rsid w:val="00853008"/>
    <w:rsid w:val="008537CF"/>
    <w:rsid w:val="00853D60"/>
    <w:rsid w:val="00854226"/>
    <w:rsid w:val="00855F97"/>
    <w:rsid w:val="0085686E"/>
    <w:rsid w:val="0085781C"/>
    <w:rsid w:val="0086007D"/>
    <w:rsid w:val="008607D2"/>
    <w:rsid w:val="00861882"/>
    <w:rsid w:val="0086285F"/>
    <w:rsid w:val="00862E66"/>
    <w:rsid w:val="00862ECA"/>
    <w:rsid w:val="008635FE"/>
    <w:rsid w:val="008639AD"/>
    <w:rsid w:val="00863B82"/>
    <w:rsid w:val="0086425D"/>
    <w:rsid w:val="00864443"/>
    <w:rsid w:val="00870507"/>
    <w:rsid w:val="00870D0B"/>
    <w:rsid w:val="008726CB"/>
    <w:rsid w:val="00873C2F"/>
    <w:rsid w:val="008755BC"/>
    <w:rsid w:val="00876947"/>
    <w:rsid w:val="00876AB7"/>
    <w:rsid w:val="0087722F"/>
    <w:rsid w:val="0088180F"/>
    <w:rsid w:val="00882C44"/>
    <w:rsid w:val="00882E43"/>
    <w:rsid w:val="00891115"/>
    <w:rsid w:val="00891239"/>
    <w:rsid w:val="008924CF"/>
    <w:rsid w:val="00894254"/>
    <w:rsid w:val="00894761"/>
    <w:rsid w:val="00894854"/>
    <w:rsid w:val="00894981"/>
    <w:rsid w:val="00894AB0"/>
    <w:rsid w:val="008951B4"/>
    <w:rsid w:val="008971AA"/>
    <w:rsid w:val="00897A13"/>
    <w:rsid w:val="008A462A"/>
    <w:rsid w:val="008A4DC4"/>
    <w:rsid w:val="008A4E57"/>
    <w:rsid w:val="008A4FB6"/>
    <w:rsid w:val="008A727D"/>
    <w:rsid w:val="008B03A5"/>
    <w:rsid w:val="008B144A"/>
    <w:rsid w:val="008B1E10"/>
    <w:rsid w:val="008B5A96"/>
    <w:rsid w:val="008B626A"/>
    <w:rsid w:val="008B6335"/>
    <w:rsid w:val="008B64A1"/>
    <w:rsid w:val="008B6906"/>
    <w:rsid w:val="008B71F1"/>
    <w:rsid w:val="008B7FA8"/>
    <w:rsid w:val="008C0740"/>
    <w:rsid w:val="008C18E4"/>
    <w:rsid w:val="008C44B6"/>
    <w:rsid w:val="008C5421"/>
    <w:rsid w:val="008C553F"/>
    <w:rsid w:val="008C55DF"/>
    <w:rsid w:val="008C5BA0"/>
    <w:rsid w:val="008C748D"/>
    <w:rsid w:val="008D0D48"/>
    <w:rsid w:val="008D1ADF"/>
    <w:rsid w:val="008D2A6F"/>
    <w:rsid w:val="008D61B5"/>
    <w:rsid w:val="008E3A6E"/>
    <w:rsid w:val="008E3EC9"/>
    <w:rsid w:val="008E400A"/>
    <w:rsid w:val="008E4594"/>
    <w:rsid w:val="008E4AA7"/>
    <w:rsid w:val="008E500B"/>
    <w:rsid w:val="008E5176"/>
    <w:rsid w:val="008E52A2"/>
    <w:rsid w:val="008E58EA"/>
    <w:rsid w:val="008E649C"/>
    <w:rsid w:val="008F0055"/>
    <w:rsid w:val="008F24E9"/>
    <w:rsid w:val="008F336E"/>
    <w:rsid w:val="008F3F18"/>
    <w:rsid w:val="008F456F"/>
    <w:rsid w:val="008F58AB"/>
    <w:rsid w:val="008F5D3C"/>
    <w:rsid w:val="00901FA6"/>
    <w:rsid w:val="00903BB2"/>
    <w:rsid w:val="009047B1"/>
    <w:rsid w:val="00904B16"/>
    <w:rsid w:val="00904F07"/>
    <w:rsid w:val="0090602D"/>
    <w:rsid w:val="00907058"/>
    <w:rsid w:val="009110B8"/>
    <w:rsid w:val="00912444"/>
    <w:rsid w:val="009130A4"/>
    <w:rsid w:val="00914FA8"/>
    <w:rsid w:val="0091517C"/>
    <w:rsid w:val="00916B5A"/>
    <w:rsid w:val="009204BD"/>
    <w:rsid w:val="009210D0"/>
    <w:rsid w:val="009218DB"/>
    <w:rsid w:val="00922533"/>
    <w:rsid w:val="00922946"/>
    <w:rsid w:val="00925405"/>
    <w:rsid w:val="00925719"/>
    <w:rsid w:val="00925A3A"/>
    <w:rsid w:val="00930002"/>
    <w:rsid w:val="0093195E"/>
    <w:rsid w:val="00931A4B"/>
    <w:rsid w:val="00934117"/>
    <w:rsid w:val="009344D8"/>
    <w:rsid w:val="00937DB9"/>
    <w:rsid w:val="00941CBB"/>
    <w:rsid w:val="00942DD1"/>
    <w:rsid w:val="00943372"/>
    <w:rsid w:val="009433D2"/>
    <w:rsid w:val="00943EDA"/>
    <w:rsid w:val="00943F2C"/>
    <w:rsid w:val="009445F8"/>
    <w:rsid w:val="00944A16"/>
    <w:rsid w:val="00944EC6"/>
    <w:rsid w:val="00947000"/>
    <w:rsid w:val="00947461"/>
    <w:rsid w:val="00947552"/>
    <w:rsid w:val="00947B73"/>
    <w:rsid w:val="00950F10"/>
    <w:rsid w:val="00950F89"/>
    <w:rsid w:val="0095519E"/>
    <w:rsid w:val="0095686A"/>
    <w:rsid w:val="00956F62"/>
    <w:rsid w:val="009571C9"/>
    <w:rsid w:val="0096076B"/>
    <w:rsid w:val="00960B50"/>
    <w:rsid w:val="009614DA"/>
    <w:rsid w:val="00962DD7"/>
    <w:rsid w:val="0096535F"/>
    <w:rsid w:val="00965DB7"/>
    <w:rsid w:val="0096620A"/>
    <w:rsid w:val="00966D1B"/>
    <w:rsid w:val="0097060E"/>
    <w:rsid w:val="0097074C"/>
    <w:rsid w:val="00973660"/>
    <w:rsid w:val="00973971"/>
    <w:rsid w:val="009754C4"/>
    <w:rsid w:val="00976ABB"/>
    <w:rsid w:val="0098094F"/>
    <w:rsid w:val="00981DE2"/>
    <w:rsid w:val="009845DA"/>
    <w:rsid w:val="00984E49"/>
    <w:rsid w:val="00985024"/>
    <w:rsid w:val="0098508A"/>
    <w:rsid w:val="00986A0E"/>
    <w:rsid w:val="009879F9"/>
    <w:rsid w:val="00987A06"/>
    <w:rsid w:val="009919E2"/>
    <w:rsid w:val="0099290C"/>
    <w:rsid w:val="00992CFF"/>
    <w:rsid w:val="009938E3"/>
    <w:rsid w:val="00993CB7"/>
    <w:rsid w:val="0099551E"/>
    <w:rsid w:val="009958E2"/>
    <w:rsid w:val="009A0EDB"/>
    <w:rsid w:val="009A1D25"/>
    <w:rsid w:val="009A3D1E"/>
    <w:rsid w:val="009A3EC0"/>
    <w:rsid w:val="009A41E1"/>
    <w:rsid w:val="009A426B"/>
    <w:rsid w:val="009A488B"/>
    <w:rsid w:val="009A659E"/>
    <w:rsid w:val="009B15F9"/>
    <w:rsid w:val="009B1B30"/>
    <w:rsid w:val="009B3061"/>
    <w:rsid w:val="009B35FF"/>
    <w:rsid w:val="009B3EBF"/>
    <w:rsid w:val="009B6B58"/>
    <w:rsid w:val="009C0111"/>
    <w:rsid w:val="009C1508"/>
    <w:rsid w:val="009C1DA2"/>
    <w:rsid w:val="009C202B"/>
    <w:rsid w:val="009C4A76"/>
    <w:rsid w:val="009C61B9"/>
    <w:rsid w:val="009C66CC"/>
    <w:rsid w:val="009C6F8E"/>
    <w:rsid w:val="009C766C"/>
    <w:rsid w:val="009D331F"/>
    <w:rsid w:val="009D617B"/>
    <w:rsid w:val="009D7539"/>
    <w:rsid w:val="009D7ADA"/>
    <w:rsid w:val="009E00DF"/>
    <w:rsid w:val="009E1869"/>
    <w:rsid w:val="009E2A05"/>
    <w:rsid w:val="009E344D"/>
    <w:rsid w:val="009E4B96"/>
    <w:rsid w:val="009E4C15"/>
    <w:rsid w:val="009F1A5A"/>
    <w:rsid w:val="009F26A6"/>
    <w:rsid w:val="009F295A"/>
    <w:rsid w:val="009F39C1"/>
    <w:rsid w:val="009F4AB7"/>
    <w:rsid w:val="009F4E4B"/>
    <w:rsid w:val="009F7D64"/>
    <w:rsid w:val="00A00A7E"/>
    <w:rsid w:val="00A013BF"/>
    <w:rsid w:val="00A02073"/>
    <w:rsid w:val="00A03591"/>
    <w:rsid w:val="00A03A24"/>
    <w:rsid w:val="00A05DB2"/>
    <w:rsid w:val="00A10AA2"/>
    <w:rsid w:val="00A1100E"/>
    <w:rsid w:val="00A1108F"/>
    <w:rsid w:val="00A11322"/>
    <w:rsid w:val="00A118CB"/>
    <w:rsid w:val="00A12AE0"/>
    <w:rsid w:val="00A132FA"/>
    <w:rsid w:val="00A14DD9"/>
    <w:rsid w:val="00A16702"/>
    <w:rsid w:val="00A17E78"/>
    <w:rsid w:val="00A22D6F"/>
    <w:rsid w:val="00A24382"/>
    <w:rsid w:val="00A25591"/>
    <w:rsid w:val="00A25B8E"/>
    <w:rsid w:val="00A30AF6"/>
    <w:rsid w:val="00A30F31"/>
    <w:rsid w:val="00A32C98"/>
    <w:rsid w:val="00A33466"/>
    <w:rsid w:val="00A347FC"/>
    <w:rsid w:val="00A3496E"/>
    <w:rsid w:val="00A35045"/>
    <w:rsid w:val="00A35C20"/>
    <w:rsid w:val="00A35C44"/>
    <w:rsid w:val="00A367CF"/>
    <w:rsid w:val="00A4204A"/>
    <w:rsid w:val="00A42AB0"/>
    <w:rsid w:val="00A44240"/>
    <w:rsid w:val="00A4442B"/>
    <w:rsid w:val="00A46441"/>
    <w:rsid w:val="00A46FD4"/>
    <w:rsid w:val="00A46FE8"/>
    <w:rsid w:val="00A474DC"/>
    <w:rsid w:val="00A47AB1"/>
    <w:rsid w:val="00A50551"/>
    <w:rsid w:val="00A518F4"/>
    <w:rsid w:val="00A53799"/>
    <w:rsid w:val="00A5487E"/>
    <w:rsid w:val="00A55287"/>
    <w:rsid w:val="00A57A2C"/>
    <w:rsid w:val="00A6325B"/>
    <w:rsid w:val="00A649B3"/>
    <w:rsid w:val="00A66601"/>
    <w:rsid w:val="00A672C9"/>
    <w:rsid w:val="00A6759F"/>
    <w:rsid w:val="00A703F1"/>
    <w:rsid w:val="00A70A85"/>
    <w:rsid w:val="00A71E13"/>
    <w:rsid w:val="00A74862"/>
    <w:rsid w:val="00A74A92"/>
    <w:rsid w:val="00A75E5C"/>
    <w:rsid w:val="00A76B4D"/>
    <w:rsid w:val="00A76DFC"/>
    <w:rsid w:val="00A773BE"/>
    <w:rsid w:val="00A805B7"/>
    <w:rsid w:val="00A825C5"/>
    <w:rsid w:val="00A83FBB"/>
    <w:rsid w:val="00A8787F"/>
    <w:rsid w:val="00A900E2"/>
    <w:rsid w:val="00A90D25"/>
    <w:rsid w:val="00A92F05"/>
    <w:rsid w:val="00A9333E"/>
    <w:rsid w:val="00A936B8"/>
    <w:rsid w:val="00A9371D"/>
    <w:rsid w:val="00A93AF0"/>
    <w:rsid w:val="00A93B39"/>
    <w:rsid w:val="00A9486D"/>
    <w:rsid w:val="00A969F4"/>
    <w:rsid w:val="00AA07AE"/>
    <w:rsid w:val="00AA1668"/>
    <w:rsid w:val="00AA24F4"/>
    <w:rsid w:val="00AA25A1"/>
    <w:rsid w:val="00AA383B"/>
    <w:rsid w:val="00AA46B7"/>
    <w:rsid w:val="00AA5184"/>
    <w:rsid w:val="00AA5779"/>
    <w:rsid w:val="00AA5815"/>
    <w:rsid w:val="00AA59FE"/>
    <w:rsid w:val="00AB0FE0"/>
    <w:rsid w:val="00AB12F3"/>
    <w:rsid w:val="00AB1481"/>
    <w:rsid w:val="00AB1625"/>
    <w:rsid w:val="00AB31BD"/>
    <w:rsid w:val="00AB37A2"/>
    <w:rsid w:val="00AB41BA"/>
    <w:rsid w:val="00AB434D"/>
    <w:rsid w:val="00AB571C"/>
    <w:rsid w:val="00AB593E"/>
    <w:rsid w:val="00AB6E6B"/>
    <w:rsid w:val="00AC187F"/>
    <w:rsid w:val="00AC4221"/>
    <w:rsid w:val="00AC480C"/>
    <w:rsid w:val="00AC68A3"/>
    <w:rsid w:val="00AC6902"/>
    <w:rsid w:val="00AC70F2"/>
    <w:rsid w:val="00AC7DA1"/>
    <w:rsid w:val="00AD033E"/>
    <w:rsid w:val="00AD573E"/>
    <w:rsid w:val="00AD7DD4"/>
    <w:rsid w:val="00AE0EBB"/>
    <w:rsid w:val="00AE304C"/>
    <w:rsid w:val="00AE338D"/>
    <w:rsid w:val="00AE40A4"/>
    <w:rsid w:val="00AE48DD"/>
    <w:rsid w:val="00AE5EBC"/>
    <w:rsid w:val="00AE5F96"/>
    <w:rsid w:val="00AE7D48"/>
    <w:rsid w:val="00AF018D"/>
    <w:rsid w:val="00AF0345"/>
    <w:rsid w:val="00AF03B0"/>
    <w:rsid w:val="00AF093A"/>
    <w:rsid w:val="00AF0F1E"/>
    <w:rsid w:val="00AF10BD"/>
    <w:rsid w:val="00AF3FBE"/>
    <w:rsid w:val="00AF4B2E"/>
    <w:rsid w:val="00AF62AF"/>
    <w:rsid w:val="00AF7F64"/>
    <w:rsid w:val="00B002B6"/>
    <w:rsid w:val="00B00E86"/>
    <w:rsid w:val="00B00EDE"/>
    <w:rsid w:val="00B013DC"/>
    <w:rsid w:val="00B021C6"/>
    <w:rsid w:val="00B029F8"/>
    <w:rsid w:val="00B07949"/>
    <w:rsid w:val="00B07AAB"/>
    <w:rsid w:val="00B1271E"/>
    <w:rsid w:val="00B15F6C"/>
    <w:rsid w:val="00B17582"/>
    <w:rsid w:val="00B17D9F"/>
    <w:rsid w:val="00B20B2F"/>
    <w:rsid w:val="00B21B4B"/>
    <w:rsid w:val="00B22430"/>
    <w:rsid w:val="00B24C3C"/>
    <w:rsid w:val="00B25A05"/>
    <w:rsid w:val="00B26A98"/>
    <w:rsid w:val="00B32B2A"/>
    <w:rsid w:val="00B34726"/>
    <w:rsid w:val="00B3616A"/>
    <w:rsid w:val="00B45253"/>
    <w:rsid w:val="00B462BE"/>
    <w:rsid w:val="00B50364"/>
    <w:rsid w:val="00B514BD"/>
    <w:rsid w:val="00B51856"/>
    <w:rsid w:val="00B528C2"/>
    <w:rsid w:val="00B52B87"/>
    <w:rsid w:val="00B53124"/>
    <w:rsid w:val="00B557F7"/>
    <w:rsid w:val="00B57BD3"/>
    <w:rsid w:val="00B57FC1"/>
    <w:rsid w:val="00B6086D"/>
    <w:rsid w:val="00B62D0D"/>
    <w:rsid w:val="00B63045"/>
    <w:rsid w:val="00B638FF"/>
    <w:rsid w:val="00B643BF"/>
    <w:rsid w:val="00B662A0"/>
    <w:rsid w:val="00B67496"/>
    <w:rsid w:val="00B67538"/>
    <w:rsid w:val="00B70A5F"/>
    <w:rsid w:val="00B716E6"/>
    <w:rsid w:val="00B71961"/>
    <w:rsid w:val="00B72EAD"/>
    <w:rsid w:val="00B8083E"/>
    <w:rsid w:val="00B808DF"/>
    <w:rsid w:val="00B80EB6"/>
    <w:rsid w:val="00B813BF"/>
    <w:rsid w:val="00B8181A"/>
    <w:rsid w:val="00B82C4F"/>
    <w:rsid w:val="00B8493D"/>
    <w:rsid w:val="00B8497A"/>
    <w:rsid w:val="00B87BDA"/>
    <w:rsid w:val="00B906B0"/>
    <w:rsid w:val="00B928E0"/>
    <w:rsid w:val="00B92971"/>
    <w:rsid w:val="00B96EE4"/>
    <w:rsid w:val="00B971D9"/>
    <w:rsid w:val="00B971DA"/>
    <w:rsid w:val="00B9721F"/>
    <w:rsid w:val="00BA4AA1"/>
    <w:rsid w:val="00BA52F9"/>
    <w:rsid w:val="00BA61E1"/>
    <w:rsid w:val="00BA7D1C"/>
    <w:rsid w:val="00BB3B33"/>
    <w:rsid w:val="00BC0245"/>
    <w:rsid w:val="00BC235C"/>
    <w:rsid w:val="00BC3238"/>
    <w:rsid w:val="00BC3AD6"/>
    <w:rsid w:val="00BC4682"/>
    <w:rsid w:val="00BC4817"/>
    <w:rsid w:val="00BC5051"/>
    <w:rsid w:val="00BC511D"/>
    <w:rsid w:val="00BC650D"/>
    <w:rsid w:val="00BD0B98"/>
    <w:rsid w:val="00BD1331"/>
    <w:rsid w:val="00BD3803"/>
    <w:rsid w:val="00BD502A"/>
    <w:rsid w:val="00BD52DA"/>
    <w:rsid w:val="00BD5329"/>
    <w:rsid w:val="00BD55EE"/>
    <w:rsid w:val="00BD6149"/>
    <w:rsid w:val="00BE09CD"/>
    <w:rsid w:val="00BE1750"/>
    <w:rsid w:val="00BE1BB6"/>
    <w:rsid w:val="00BE2293"/>
    <w:rsid w:val="00BE2D01"/>
    <w:rsid w:val="00BE2DD0"/>
    <w:rsid w:val="00BE6D3B"/>
    <w:rsid w:val="00BE7653"/>
    <w:rsid w:val="00BE7CDD"/>
    <w:rsid w:val="00BF23D7"/>
    <w:rsid w:val="00BF3F77"/>
    <w:rsid w:val="00BF427A"/>
    <w:rsid w:val="00BF5B2C"/>
    <w:rsid w:val="00BF7C07"/>
    <w:rsid w:val="00C001C0"/>
    <w:rsid w:val="00C00589"/>
    <w:rsid w:val="00C02CA5"/>
    <w:rsid w:val="00C051A8"/>
    <w:rsid w:val="00C05C7E"/>
    <w:rsid w:val="00C10ADF"/>
    <w:rsid w:val="00C1372E"/>
    <w:rsid w:val="00C139C7"/>
    <w:rsid w:val="00C15ADF"/>
    <w:rsid w:val="00C164A1"/>
    <w:rsid w:val="00C16A56"/>
    <w:rsid w:val="00C1758B"/>
    <w:rsid w:val="00C17C91"/>
    <w:rsid w:val="00C213AE"/>
    <w:rsid w:val="00C230B4"/>
    <w:rsid w:val="00C2470D"/>
    <w:rsid w:val="00C25F93"/>
    <w:rsid w:val="00C265C3"/>
    <w:rsid w:val="00C265D2"/>
    <w:rsid w:val="00C30121"/>
    <w:rsid w:val="00C3039C"/>
    <w:rsid w:val="00C30FD4"/>
    <w:rsid w:val="00C314EF"/>
    <w:rsid w:val="00C353A5"/>
    <w:rsid w:val="00C367AD"/>
    <w:rsid w:val="00C3680E"/>
    <w:rsid w:val="00C408FD"/>
    <w:rsid w:val="00C40E0D"/>
    <w:rsid w:val="00C41F2E"/>
    <w:rsid w:val="00C4237B"/>
    <w:rsid w:val="00C42EBD"/>
    <w:rsid w:val="00C44779"/>
    <w:rsid w:val="00C454D0"/>
    <w:rsid w:val="00C473BC"/>
    <w:rsid w:val="00C50B29"/>
    <w:rsid w:val="00C50DEA"/>
    <w:rsid w:val="00C51E68"/>
    <w:rsid w:val="00C52388"/>
    <w:rsid w:val="00C52C33"/>
    <w:rsid w:val="00C54350"/>
    <w:rsid w:val="00C548EF"/>
    <w:rsid w:val="00C5509A"/>
    <w:rsid w:val="00C57E6C"/>
    <w:rsid w:val="00C57EAE"/>
    <w:rsid w:val="00C6016C"/>
    <w:rsid w:val="00C6143C"/>
    <w:rsid w:val="00C614CB"/>
    <w:rsid w:val="00C618C9"/>
    <w:rsid w:val="00C62A04"/>
    <w:rsid w:val="00C62E02"/>
    <w:rsid w:val="00C6373E"/>
    <w:rsid w:val="00C63929"/>
    <w:rsid w:val="00C639E4"/>
    <w:rsid w:val="00C63AD6"/>
    <w:rsid w:val="00C63D27"/>
    <w:rsid w:val="00C65E4F"/>
    <w:rsid w:val="00C6741E"/>
    <w:rsid w:val="00C676D7"/>
    <w:rsid w:val="00C67A24"/>
    <w:rsid w:val="00C67B8B"/>
    <w:rsid w:val="00C70BAF"/>
    <w:rsid w:val="00C72697"/>
    <w:rsid w:val="00C74D6C"/>
    <w:rsid w:val="00C82AFC"/>
    <w:rsid w:val="00C8410E"/>
    <w:rsid w:val="00C84809"/>
    <w:rsid w:val="00C864B7"/>
    <w:rsid w:val="00C87922"/>
    <w:rsid w:val="00C914F4"/>
    <w:rsid w:val="00C92715"/>
    <w:rsid w:val="00C937BB"/>
    <w:rsid w:val="00C93807"/>
    <w:rsid w:val="00C9486A"/>
    <w:rsid w:val="00C95034"/>
    <w:rsid w:val="00C95D52"/>
    <w:rsid w:val="00C968A7"/>
    <w:rsid w:val="00C9719C"/>
    <w:rsid w:val="00C971CD"/>
    <w:rsid w:val="00C97707"/>
    <w:rsid w:val="00C977EB"/>
    <w:rsid w:val="00C97B5A"/>
    <w:rsid w:val="00CA0878"/>
    <w:rsid w:val="00CA09DD"/>
    <w:rsid w:val="00CA1336"/>
    <w:rsid w:val="00CA1406"/>
    <w:rsid w:val="00CA1AD6"/>
    <w:rsid w:val="00CA2B6A"/>
    <w:rsid w:val="00CA503E"/>
    <w:rsid w:val="00CA57C6"/>
    <w:rsid w:val="00CA61F8"/>
    <w:rsid w:val="00CA6950"/>
    <w:rsid w:val="00CA6A57"/>
    <w:rsid w:val="00CA6FCF"/>
    <w:rsid w:val="00CA7BD4"/>
    <w:rsid w:val="00CB1879"/>
    <w:rsid w:val="00CB1990"/>
    <w:rsid w:val="00CB19FB"/>
    <w:rsid w:val="00CB20E2"/>
    <w:rsid w:val="00CB215E"/>
    <w:rsid w:val="00CB2FBF"/>
    <w:rsid w:val="00CB4037"/>
    <w:rsid w:val="00CB57A7"/>
    <w:rsid w:val="00CB6A23"/>
    <w:rsid w:val="00CB6C7B"/>
    <w:rsid w:val="00CC07C2"/>
    <w:rsid w:val="00CC0B88"/>
    <w:rsid w:val="00CC0E15"/>
    <w:rsid w:val="00CC2667"/>
    <w:rsid w:val="00CC2AEF"/>
    <w:rsid w:val="00CC4714"/>
    <w:rsid w:val="00CC4A67"/>
    <w:rsid w:val="00CC55BE"/>
    <w:rsid w:val="00CC6BE9"/>
    <w:rsid w:val="00CC7079"/>
    <w:rsid w:val="00CC7497"/>
    <w:rsid w:val="00CC781C"/>
    <w:rsid w:val="00CD0B73"/>
    <w:rsid w:val="00CD1270"/>
    <w:rsid w:val="00CD2A89"/>
    <w:rsid w:val="00CD346A"/>
    <w:rsid w:val="00CD4D06"/>
    <w:rsid w:val="00CD50CA"/>
    <w:rsid w:val="00CD51C8"/>
    <w:rsid w:val="00CD63D7"/>
    <w:rsid w:val="00CD7413"/>
    <w:rsid w:val="00CD76CC"/>
    <w:rsid w:val="00CE066C"/>
    <w:rsid w:val="00CE31E6"/>
    <w:rsid w:val="00CE348B"/>
    <w:rsid w:val="00CE420C"/>
    <w:rsid w:val="00CE5FFC"/>
    <w:rsid w:val="00CE6E8A"/>
    <w:rsid w:val="00CE6EA0"/>
    <w:rsid w:val="00CE6FF2"/>
    <w:rsid w:val="00CE78FD"/>
    <w:rsid w:val="00CE7F72"/>
    <w:rsid w:val="00CF0F2E"/>
    <w:rsid w:val="00CF1F75"/>
    <w:rsid w:val="00CF3B32"/>
    <w:rsid w:val="00CF5A64"/>
    <w:rsid w:val="00CF5A8B"/>
    <w:rsid w:val="00CF5E56"/>
    <w:rsid w:val="00CF7FDE"/>
    <w:rsid w:val="00D0006B"/>
    <w:rsid w:val="00D007B2"/>
    <w:rsid w:val="00D00CC7"/>
    <w:rsid w:val="00D030CA"/>
    <w:rsid w:val="00D0504D"/>
    <w:rsid w:val="00D062D0"/>
    <w:rsid w:val="00D065F9"/>
    <w:rsid w:val="00D0771B"/>
    <w:rsid w:val="00D077A2"/>
    <w:rsid w:val="00D12A9F"/>
    <w:rsid w:val="00D12B81"/>
    <w:rsid w:val="00D12BAB"/>
    <w:rsid w:val="00D16926"/>
    <w:rsid w:val="00D172A8"/>
    <w:rsid w:val="00D17499"/>
    <w:rsid w:val="00D17B61"/>
    <w:rsid w:val="00D17D85"/>
    <w:rsid w:val="00D216D0"/>
    <w:rsid w:val="00D238CF"/>
    <w:rsid w:val="00D23D82"/>
    <w:rsid w:val="00D23EB7"/>
    <w:rsid w:val="00D23F60"/>
    <w:rsid w:val="00D243E5"/>
    <w:rsid w:val="00D270C9"/>
    <w:rsid w:val="00D3085A"/>
    <w:rsid w:val="00D30921"/>
    <w:rsid w:val="00D30D4A"/>
    <w:rsid w:val="00D30FE9"/>
    <w:rsid w:val="00D31C5F"/>
    <w:rsid w:val="00D31E5B"/>
    <w:rsid w:val="00D32F92"/>
    <w:rsid w:val="00D330B7"/>
    <w:rsid w:val="00D368D1"/>
    <w:rsid w:val="00D37550"/>
    <w:rsid w:val="00D402F0"/>
    <w:rsid w:val="00D4076E"/>
    <w:rsid w:val="00D419EE"/>
    <w:rsid w:val="00D42E51"/>
    <w:rsid w:val="00D436D3"/>
    <w:rsid w:val="00D44442"/>
    <w:rsid w:val="00D44677"/>
    <w:rsid w:val="00D454CA"/>
    <w:rsid w:val="00D45D53"/>
    <w:rsid w:val="00D465D9"/>
    <w:rsid w:val="00D50876"/>
    <w:rsid w:val="00D50C0B"/>
    <w:rsid w:val="00D521D5"/>
    <w:rsid w:val="00D524C0"/>
    <w:rsid w:val="00D5287D"/>
    <w:rsid w:val="00D53B0C"/>
    <w:rsid w:val="00D62D8F"/>
    <w:rsid w:val="00D64613"/>
    <w:rsid w:val="00D650C2"/>
    <w:rsid w:val="00D65495"/>
    <w:rsid w:val="00D65720"/>
    <w:rsid w:val="00D701EF"/>
    <w:rsid w:val="00D70B65"/>
    <w:rsid w:val="00D72C8A"/>
    <w:rsid w:val="00D72DE0"/>
    <w:rsid w:val="00D7349E"/>
    <w:rsid w:val="00D75922"/>
    <w:rsid w:val="00D76E44"/>
    <w:rsid w:val="00D77031"/>
    <w:rsid w:val="00D7722B"/>
    <w:rsid w:val="00D809D6"/>
    <w:rsid w:val="00D81361"/>
    <w:rsid w:val="00D816EB"/>
    <w:rsid w:val="00D81960"/>
    <w:rsid w:val="00D81EB3"/>
    <w:rsid w:val="00D8216D"/>
    <w:rsid w:val="00D82477"/>
    <w:rsid w:val="00D829E2"/>
    <w:rsid w:val="00D8401E"/>
    <w:rsid w:val="00D850DF"/>
    <w:rsid w:val="00D8581C"/>
    <w:rsid w:val="00D92AD7"/>
    <w:rsid w:val="00D93F64"/>
    <w:rsid w:val="00D97964"/>
    <w:rsid w:val="00DA03BB"/>
    <w:rsid w:val="00DA2293"/>
    <w:rsid w:val="00DA32A6"/>
    <w:rsid w:val="00DA4E84"/>
    <w:rsid w:val="00DA4F5C"/>
    <w:rsid w:val="00DA5735"/>
    <w:rsid w:val="00DA7F53"/>
    <w:rsid w:val="00DB188B"/>
    <w:rsid w:val="00DB2500"/>
    <w:rsid w:val="00DB2812"/>
    <w:rsid w:val="00DB2CC2"/>
    <w:rsid w:val="00DB3B1F"/>
    <w:rsid w:val="00DB488B"/>
    <w:rsid w:val="00DB4A89"/>
    <w:rsid w:val="00DB5271"/>
    <w:rsid w:val="00DB70BA"/>
    <w:rsid w:val="00DC06DD"/>
    <w:rsid w:val="00DC1BF9"/>
    <w:rsid w:val="00DC1CDD"/>
    <w:rsid w:val="00DC6637"/>
    <w:rsid w:val="00DD0B70"/>
    <w:rsid w:val="00DD17D2"/>
    <w:rsid w:val="00DD1D99"/>
    <w:rsid w:val="00DD2804"/>
    <w:rsid w:val="00DD28DC"/>
    <w:rsid w:val="00DD3619"/>
    <w:rsid w:val="00DD3E46"/>
    <w:rsid w:val="00DD404E"/>
    <w:rsid w:val="00DD46BC"/>
    <w:rsid w:val="00DD4B60"/>
    <w:rsid w:val="00DD606B"/>
    <w:rsid w:val="00DD63FD"/>
    <w:rsid w:val="00DD7034"/>
    <w:rsid w:val="00DE0712"/>
    <w:rsid w:val="00DE0C49"/>
    <w:rsid w:val="00DE1D45"/>
    <w:rsid w:val="00DE2DEE"/>
    <w:rsid w:val="00DE2EB5"/>
    <w:rsid w:val="00DE53BD"/>
    <w:rsid w:val="00DE5D51"/>
    <w:rsid w:val="00DE68C7"/>
    <w:rsid w:val="00DE6F21"/>
    <w:rsid w:val="00DE700C"/>
    <w:rsid w:val="00DF0434"/>
    <w:rsid w:val="00DF158D"/>
    <w:rsid w:val="00DF1A0D"/>
    <w:rsid w:val="00DF1C19"/>
    <w:rsid w:val="00DF1E82"/>
    <w:rsid w:val="00DF2B00"/>
    <w:rsid w:val="00DF2C3D"/>
    <w:rsid w:val="00DF5EF0"/>
    <w:rsid w:val="00DF7496"/>
    <w:rsid w:val="00DF7A77"/>
    <w:rsid w:val="00E004B9"/>
    <w:rsid w:val="00E0142E"/>
    <w:rsid w:val="00E01591"/>
    <w:rsid w:val="00E01EB9"/>
    <w:rsid w:val="00E032E2"/>
    <w:rsid w:val="00E10115"/>
    <w:rsid w:val="00E119EB"/>
    <w:rsid w:val="00E124B0"/>
    <w:rsid w:val="00E144AF"/>
    <w:rsid w:val="00E170F5"/>
    <w:rsid w:val="00E17367"/>
    <w:rsid w:val="00E223DC"/>
    <w:rsid w:val="00E22762"/>
    <w:rsid w:val="00E24712"/>
    <w:rsid w:val="00E24851"/>
    <w:rsid w:val="00E31F86"/>
    <w:rsid w:val="00E3330E"/>
    <w:rsid w:val="00E33441"/>
    <w:rsid w:val="00E33693"/>
    <w:rsid w:val="00E346C2"/>
    <w:rsid w:val="00E35410"/>
    <w:rsid w:val="00E37ABC"/>
    <w:rsid w:val="00E4078A"/>
    <w:rsid w:val="00E40864"/>
    <w:rsid w:val="00E40BC5"/>
    <w:rsid w:val="00E41E3C"/>
    <w:rsid w:val="00E42E53"/>
    <w:rsid w:val="00E42E90"/>
    <w:rsid w:val="00E45894"/>
    <w:rsid w:val="00E458FD"/>
    <w:rsid w:val="00E46DB7"/>
    <w:rsid w:val="00E51169"/>
    <w:rsid w:val="00E517B9"/>
    <w:rsid w:val="00E52688"/>
    <w:rsid w:val="00E53ECC"/>
    <w:rsid w:val="00E5479F"/>
    <w:rsid w:val="00E54CE3"/>
    <w:rsid w:val="00E55B89"/>
    <w:rsid w:val="00E60190"/>
    <w:rsid w:val="00E603DF"/>
    <w:rsid w:val="00E6127F"/>
    <w:rsid w:val="00E62045"/>
    <w:rsid w:val="00E666EA"/>
    <w:rsid w:val="00E66BD2"/>
    <w:rsid w:val="00E7067C"/>
    <w:rsid w:val="00E712CE"/>
    <w:rsid w:val="00E72AFD"/>
    <w:rsid w:val="00E72E1B"/>
    <w:rsid w:val="00E72F29"/>
    <w:rsid w:val="00E73D8B"/>
    <w:rsid w:val="00E7631F"/>
    <w:rsid w:val="00E77D56"/>
    <w:rsid w:val="00E80314"/>
    <w:rsid w:val="00E81332"/>
    <w:rsid w:val="00E8177F"/>
    <w:rsid w:val="00E81D68"/>
    <w:rsid w:val="00E82237"/>
    <w:rsid w:val="00E86D41"/>
    <w:rsid w:val="00E87D97"/>
    <w:rsid w:val="00E87DA8"/>
    <w:rsid w:val="00E91C6A"/>
    <w:rsid w:val="00E96573"/>
    <w:rsid w:val="00E96B8C"/>
    <w:rsid w:val="00E97C02"/>
    <w:rsid w:val="00EA0D73"/>
    <w:rsid w:val="00EA1C3B"/>
    <w:rsid w:val="00EA28ED"/>
    <w:rsid w:val="00EA520F"/>
    <w:rsid w:val="00EA5C73"/>
    <w:rsid w:val="00EA68E4"/>
    <w:rsid w:val="00EA72AD"/>
    <w:rsid w:val="00EA784D"/>
    <w:rsid w:val="00EB04F3"/>
    <w:rsid w:val="00EB08B1"/>
    <w:rsid w:val="00EB1E9D"/>
    <w:rsid w:val="00EB3C47"/>
    <w:rsid w:val="00EB3D0F"/>
    <w:rsid w:val="00EB4485"/>
    <w:rsid w:val="00EB45DC"/>
    <w:rsid w:val="00EB50B1"/>
    <w:rsid w:val="00EB6109"/>
    <w:rsid w:val="00EC0135"/>
    <w:rsid w:val="00EC0A9F"/>
    <w:rsid w:val="00EC2257"/>
    <w:rsid w:val="00EC33C3"/>
    <w:rsid w:val="00EC48B2"/>
    <w:rsid w:val="00EC689D"/>
    <w:rsid w:val="00ED1659"/>
    <w:rsid w:val="00ED2418"/>
    <w:rsid w:val="00ED44B3"/>
    <w:rsid w:val="00ED4A54"/>
    <w:rsid w:val="00ED4B07"/>
    <w:rsid w:val="00ED591C"/>
    <w:rsid w:val="00ED6348"/>
    <w:rsid w:val="00ED6D54"/>
    <w:rsid w:val="00ED7D40"/>
    <w:rsid w:val="00EE0EDE"/>
    <w:rsid w:val="00EE14E6"/>
    <w:rsid w:val="00EE18AE"/>
    <w:rsid w:val="00EE3C52"/>
    <w:rsid w:val="00EE61E9"/>
    <w:rsid w:val="00EE6E56"/>
    <w:rsid w:val="00EE6F92"/>
    <w:rsid w:val="00EE7316"/>
    <w:rsid w:val="00EE73D3"/>
    <w:rsid w:val="00EE764C"/>
    <w:rsid w:val="00EF2DA3"/>
    <w:rsid w:val="00EF57FB"/>
    <w:rsid w:val="00EF5FA4"/>
    <w:rsid w:val="00EF6716"/>
    <w:rsid w:val="00EF7A10"/>
    <w:rsid w:val="00EF7CEB"/>
    <w:rsid w:val="00F0006F"/>
    <w:rsid w:val="00F0074B"/>
    <w:rsid w:val="00F0086E"/>
    <w:rsid w:val="00F010FC"/>
    <w:rsid w:val="00F0165C"/>
    <w:rsid w:val="00F026FF"/>
    <w:rsid w:val="00F02F5F"/>
    <w:rsid w:val="00F03A21"/>
    <w:rsid w:val="00F043EC"/>
    <w:rsid w:val="00F047E6"/>
    <w:rsid w:val="00F06C01"/>
    <w:rsid w:val="00F074A1"/>
    <w:rsid w:val="00F116E2"/>
    <w:rsid w:val="00F12B84"/>
    <w:rsid w:val="00F12F42"/>
    <w:rsid w:val="00F14EBA"/>
    <w:rsid w:val="00F15324"/>
    <w:rsid w:val="00F157F4"/>
    <w:rsid w:val="00F158EC"/>
    <w:rsid w:val="00F17E62"/>
    <w:rsid w:val="00F20C8E"/>
    <w:rsid w:val="00F20D42"/>
    <w:rsid w:val="00F210CD"/>
    <w:rsid w:val="00F214EC"/>
    <w:rsid w:val="00F227D5"/>
    <w:rsid w:val="00F24097"/>
    <w:rsid w:val="00F24102"/>
    <w:rsid w:val="00F25450"/>
    <w:rsid w:val="00F259E4"/>
    <w:rsid w:val="00F26017"/>
    <w:rsid w:val="00F26987"/>
    <w:rsid w:val="00F27BC4"/>
    <w:rsid w:val="00F30945"/>
    <w:rsid w:val="00F344D6"/>
    <w:rsid w:val="00F35467"/>
    <w:rsid w:val="00F35D08"/>
    <w:rsid w:val="00F35FF7"/>
    <w:rsid w:val="00F37029"/>
    <w:rsid w:val="00F37A14"/>
    <w:rsid w:val="00F41897"/>
    <w:rsid w:val="00F4303E"/>
    <w:rsid w:val="00F45511"/>
    <w:rsid w:val="00F46353"/>
    <w:rsid w:val="00F46786"/>
    <w:rsid w:val="00F508FC"/>
    <w:rsid w:val="00F51BF5"/>
    <w:rsid w:val="00F51FA7"/>
    <w:rsid w:val="00F53862"/>
    <w:rsid w:val="00F55156"/>
    <w:rsid w:val="00F563AF"/>
    <w:rsid w:val="00F56504"/>
    <w:rsid w:val="00F5785A"/>
    <w:rsid w:val="00F5794A"/>
    <w:rsid w:val="00F57EDD"/>
    <w:rsid w:val="00F601DC"/>
    <w:rsid w:val="00F62A1A"/>
    <w:rsid w:val="00F62D5E"/>
    <w:rsid w:val="00F640F9"/>
    <w:rsid w:val="00F6626D"/>
    <w:rsid w:val="00F66327"/>
    <w:rsid w:val="00F7101D"/>
    <w:rsid w:val="00F721AA"/>
    <w:rsid w:val="00F73BE3"/>
    <w:rsid w:val="00F73C40"/>
    <w:rsid w:val="00F74CCC"/>
    <w:rsid w:val="00F757FA"/>
    <w:rsid w:val="00F761E0"/>
    <w:rsid w:val="00F763B6"/>
    <w:rsid w:val="00F805F8"/>
    <w:rsid w:val="00F80A95"/>
    <w:rsid w:val="00F81BE4"/>
    <w:rsid w:val="00F81C91"/>
    <w:rsid w:val="00F8252D"/>
    <w:rsid w:val="00F83798"/>
    <w:rsid w:val="00F83B3D"/>
    <w:rsid w:val="00F96F5B"/>
    <w:rsid w:val="00FA0588"/>
    <w:rsid w:val="00FA088E"/>
    <w:rsid w:val="00FA08AD"/>
    <w:rsid w:val="00FA2A90"/>
    <w:rsid w:val="00FA2FAB"/>
    <w:rsid w:val="00FA3C72"/>
    <w:rsid w:val="00FA3D71"/>
    <w:rsid w:val="00FA409A"/>
    <w:rsid w:val="00FA4467"/>
    <w:rsid w:val="00FA58E2"/>
    <w:rsid w:val="00FB0058"/>
    <w:rsid w:val="00FB0FD4"/>
    <w:rsid w:val="00FB21C8"/>
    <w:rsid w:val="00FB2433"/>
    <w:rsid w:val="00FB2624"/>
    <w:rsid w:val="00FB2D9A"/>
    <w:rsid w:val="00FB5C4C"/>
    <w:rsid w:val="00FB64B9"/>
    <w:rsid w:val="00FC0A09"/>
    <w:rsid w:val="00FC0C76"/>
    <w:rsid w:val="00FC2983"/>
    <w:rsid w:val="00FC516A"/>
    <w:rsid w:val="00FC609F"/>
    <w:rsid w:val="00FC7F99"/>
    <w:rsid w:val="00FD0066"/>
    <w:rsid w:val="00FD12AE"/>
    <w:rsid w:val="00FD274B"/>
    <w:rsid w:val="00FD30EA"/>
    <w:rsid w:val="00FD3FEC"/>
    <w:rsid w:val="00FD6267"/>
    <w:rsid w:val="00FE1F18"/>
    <w:rsid w:val="00FE3371"/>
    <w:rsid w:val="00FE3A92"/>
    <w:rsid w:val="00FE3CB6"/>
    <w:rsid w:val="00FE410D"/>
    <w:rsid w:val="00FE6B7D"/>
    <w:rsid w:val="00FE6EE6"/>
    <w:rsid w:val="00FE7965"/>
    <w:rsid w:val="00FF02F8"/>
    <w:rsid w:val="00FF0617"/>
    <w:rsid w:val="00FF7DF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56482E3"/>
  <w14:defaultImageDpi w14:val="300"/>
  <w15:docId w15:val="{6CC52C95-6DE1-41CA-82DA-1DEA2655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22"/>
    <w:rPr>
      <w:rFonts w:ascii="Arial" w:hAnsi="Arial"/>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kro">
    <w:name w:val="makro"/>
    <w:basedOn w:val="Normal"/>
    <w:rPr>
      <w:rFonts w:eastAsia="Times New Roman"/>
    </w:rPr>
  </w:style>
  <w:style w:type="paragraph" w:styleId="Fotnotstext">
    <w:name w:val="footnote text"/>
    <w:basedOn w:val="Normal"/>
    <w:semiHidden/>
    <w:rsid w:val="00513F3B"/>
    <w:rPr>
      <w:sz w:val="24"/>
      <w:szCs w:val="24"/>
    </w:rPr>
  </w:style>
  <w:style w:type="character" w:styleId="Fotnotsreferens">
    <w:name w:val="footnote reference"/>
    <w:semiHidden/>
    <w:rsid w:val="00513F3B"/>
    <w:rPr>
      <w:vertAlign w:val="superscript"/>
    </w:rPr>
  </w:style>
  <w:style w:type="character" w:styleId="Hyperlnk">
    <w:name w:val="Hyperlink"/>
    <w:uiPriority w:val="99"/>
    <w:unhideWhenUsed/>
    <w:rsid w:val="00C473BC"/>
    <w:rPr>
      <w:color w:val="0000FF"/>
      <w:u w:val="single"/>
    </w:rPr>
  </w:style>
  <w:style w:type="character" w:styleId="AnvndHyperlnk">
    <w:name w:val="FollowedHyperlink"/>
    <w:uiPriority w:val="99"/>
    <w:semiHidden/>
    <w:unhideWhenUsed/>
    <w:rsid w:val="003A0CDA"/>
    <w:rPr>
      <w:color w:val="800080"/>
      <w:u w:val="single"/>
    </w:rPr>
  </w:style>
  <w:style w:type="paragraph" w:styleId="Ingetavstnd">
    <w:name w:val="No Spacing"/>
    <w:link w:val="IngetavstndChar"/>
    <w:uiPriority w:val="1"/>
    <w:qFormat/>
    <w:rsid w:val="001A72BB"/>
    <w:rPr>
      <w:rFonts w:ascii="Calibri" w:eastAsia="Times New Roman" w:hAnsi="Calibri"/>
      <w:sz w:val="22"/>
      <w:szCs w:val="22"/>
    </w:rPr>
  </w:style>
  <w:style w:type="paragraph" w:customStyle="1" w:styleId="Formatmall1">
    <w:name w:val="Formatmall1"/>
    <w:basedOn w:val="Normal"/>
    <w:qFormat/>
    <w:rsid w:val="00572D9F"/>
    <w:pPr>
      <w:ind w:left="397"/>
    </w:pPr>
    <w:rPr>
      <w:rFonts w:eastAsia="Times New Roman"/>
    </w:rPr>
  </w:style>
  <w:style w:type="paragraph" w:customStyle="1" w:styleId="Cit">
    <w:name w:val="Cit"/>
    <w:basedOn w:val="Normal"/>
    <w:qFormat/>
    <w:rsid w:val="00CD4D06"/>
    <w:pPr>
      <w:ind w:left="397"/>
    </w:pPr>
    <w:rPr>
      <w:rFonts w:eastAsia="Times New Roman"/>
    </w:rPr>
  </w:style>
  <w:style w:type="character" w:customStyle="1" w:styleId="IngetavstndChar">
    <w:name w:val="Inget avstånd Char"/>
    <w:link w:val="Ingetavstnd"/>
    <w:uiPriority w:val="1"/>
    <w:rsid w:val="001A72BB"/>
    <w:rPr>
      <w:rFonts w:ascii="Calibri" w:eastAsia="Times New Roman" w:hAnsi="Calibri"/>
      <w:sz w:val="22"/>
      <w:szCs w:val="22"/>
    </w:rPr>
  </w:style>
  <w:style w:type="paragraph" w:styleId="Sidhuvud">
    <w:name w:val="header"/>
    <w:basedOn w:val="Normal"/>
    <w:link w:val="SidhuvudChar"/>
    <w:uiPriority w:val="99"/>
    <w:unhideWhenUsed/>
    <w:rsid w:val="00092125"/>
    <w:pPr>
      <w:tabs>
        <w:tab w:val="center" w:pos="4536"/>
        <w:tab w:val="right" w:pos="9072"/>
      </w:tabs>
    </w:pPr>
  </w:style>
  <w:style w:type="character" w:customStyle="1" w:styleId="SidhuvudChar">
    <w:name w:val="Sidhuvud Char"/>
    <w:link w:val="Sidhuvud"/>
    <w:uiPriority w:val="99"/>
    <w:rsid w:val="00092125"/>
    <w:rPr>
      <w:rFonts w:ascii="Arial" w:hAnsi="Arial"/>
      <w:sz w:val="28"/>
    </w:rPr>
  </w:style>
  <w:style w:type="paragraph" w:styleId="Sidfot">
    <w:name w:val="footer"/>
    <w:basedOn w:val="Normal"/>
    <w:link w:val="SidfotChar"/>
    <w:uiPriority w:val="99"/>
    <w:unhideWhenUsed/>
    <w:rsid w:val="00092125"/>
    <w:pPr>
      <w:tabs>
        <w:tab w:val="center" w:pos="4536"/>
        <w:tab w:val="right" w:pos="9072"/>
      </w:tabs>
    </w:pPr>
  </w:style>
  <w:style w:type="character" w:customStyle="1" w:styleId="SidfotChar">
    <w:name w:val="Sidfot Char"/>
    <w:link w:val="Sidfot"/>
    <w:uiPriority w:val="99"/>
    <w:rsid w:val="00092125"/>
    <w:rPr>
      <w:rFonts w:ascii="Arial" w:hAnsi="Arial"/>
      <w:sz w:val="28"/>
    </w:rPr>
  </w:style>
  <w:style w:type="paragraph" w:styleId="Ballongtext">
    <w:name w:val="Balloon Text"/>
    <w:basedOn w:val="Normal"/>
    <w:link w:val="BallongtextChar"/>
    <w:uiPriority w:val="99"/>
    <w:semiHidden/>
    <w:unhideWhenUsed/>
    <w:rsid w:val="00092125"/>
    <w:rPr>
      <w:rFonts w:ascii="Segoe UI" w:hAnsi="Segoe UI" w:cs="Segoe UI"/>
      <w:sz w:val="18"/>
      <w:szCs w:val="18"/>
    </w:rPr>
  </w:style>
  <w:style w:type="character" w:customStyle="1" w:styleId="BallongtextChar">
    <w:name w:val="Ballongtext Char"/>
    <w:link w:val="Ballongtext"/>
    <w:uiPriority w:val="99"/>
    <w:semiHidden/>
    <w:rsid w:val="0009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15914</Words>
  <Characters>84347</Characters>
  <Application>Microsoft Office Word</Application>
  <DocSecurity>4</DocSecurity>
  <Lines>702</Lines>
  <Paragraphs>200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Skolforskningsinstitutets arbete med systematiska översikter</vt:lpstr>
      <vt:lpstr>EBM-ant</vt:lpstr>
    </vt:vector>
  </TitlesOfParts>
  <Company>STS</Company>
  <LinksUpToDate>false</LinksUpToDate>
  <CharactersWithSpaces>100061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Skolforskningsinstitutets arbete med systematiska översikter</dc:title>
  <dc:subject>Utvärdering</dc:subject>
  <dc:creator>Ingemar Bohlin</dc:creator>
  <cp:keywords/>
  <cp:lastModifiedBy>Anna Andersson</cp:lastModifiedBy>
  <cp:revision>2</cp:revision>
  <dcterms:created xsi:type="dcterms:W3CDTF">2018-11-08T09:42:00Z</dcterms:created>
  <dcterms:modified xsi:type="dcterms:W3CDTF">2018-11-08T09:42:00Z</dcterms:modified>
</cp:coreProperties>
</file>